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2112D" w14:textId="2B9BEA85" w:rsidR="006D6C1B" w:rsidRPr="00FC079C" w:rsidRDefault="001F53CD" w:rsidP="004650A4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Hlk119679985"/>
      <w:r>
        <w:rPr>
          <w:rFonts w:ascii="Times New Roman" w:hAnsi="Times New Roman"/>
          <w:b/>
          <w:sz w:val="24"/>
          <w:szCs w:val="24"/>
        </w:rPr>
        <w:t>ORDINANCE # 2022-17</w:t>
      </w:r>
      <w:bookmarkStart w:id="1" w:name="_GoBack"/>
      <w:bookmarkEnd w:id="1"/>
    </w:p>
    <w:p w14:paraId="1339E8EE" w14:textId="77777777" w:rsidR="006D6C1B" w:rsidRPr="00FC079C" w:rsidRDefault="006D6C1B" w:rsidP="004650A4">
      <w:pPr>
        <w:jc w:val="center"/>
        <w:rPr>
          <w:rFonts w:ascii="Times New Roman" w:hAnsi="Times New Roman"/>
          <w:b/>
          <w:sz w:val="24"/>
          <w:szCs w:val="24"/>
        </w:rPr>
      </w:pPr>
      <w:r w:rsidRPr="00FC079C">
        <w:rPr>
          <w:rFonts w:ascii="Times New Roman" w:hAnsi="Times New Roman"/>
          <w:b/>
          <w:sz w:val="24"/>
          <w:szCs w:val="24"/>
        </w:rPr>
        <w:t>ORDINANCE MODIFYING LOCAL INCOME TAX RATES</w:t>
      </w:r>
    </w:p>
    <w:p w14:paraId="2FA9B66C" w14:textId="4AD67E6F" w:rsidR="006D6C1B" w:rsidRDefault="00F6102B" w:rsidP="004650A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CLAY</w:t>
      </w:r>
      <w:r w:rsidR="006D6C1B" w:rsidRPr="00FC079C">
        <w:rPr>
          <w:rFonts w:ascii="Times New Roman" w:hAnsi="Times New Roman"/>
          <w:b/>
          <w:sz w:val="24"/>
          <w:szCs w:val="24"/>
        </w:rPr>
        <w:t xml:space="preserve"> COUNTY</w:t>
      </w:r>
    </w:p>
    <w:p w14:paraId="40E0A78A" w14:textId="77777777" w:rsidR="007A130E" w:rsidRPr="00FC079C" w:rsidRDefault="007A130E" w:rsidP="004650A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448539D" w14:textId="01C9527E" w:rsidR="006D6C1B" w:rsidRPr="00FC079C" w:rsidRDefault="006D6C1B" w:rsidP="004650A4">
      <w:pPr>
        <w:rPr>
          <w:rFonts w:ascii="Times New Roman" w:hAnsi="Times New Roman"/>
          <w:sz w:val="24"/>
          <w:szCs w:val="24"/>
        </w:rPr>
      </w:pPr>
      <w:r w:rsidRPr="00FC079C">
        <w:rPr>
          <w:rFonts w:ascii="Times New Roman" w:hAnsi="Times New Roman"/>
          <w:b/>
          <w:sz w:val="24"/>
          <w:szCs w:val="24"/>
        </w:rPr>
        <w:t xml:space="preserve">BE IT ORDAINED </w:t>
      </w:r>
      <w:r w:rsidRPr="00FC079C">
        <w:rPr>
          <w:rFonts w:ascii="Times New Roman" w:hAnsi="Times New Roman"/>
          <w:sz w:val="24"/>
          <w:szCs w:val="24"/>
        </w:rPr>
        <w:t xml:space="preserve">by the </w:t>
      </w:r>
      <w:r w:rsidR="00F6102B">
        <w:rPr>
          <w:rFonts w:ascii="Times New Roman" w:hAnsi="Times New Roman"/>
          <w:sz w:val="24"/>
          <w:szCs w:val="24"/>
        </w:rPr>
        <w:t>County Council</w:t>
      </w:r>
      <w:r w:rsidRPr="00FC079C">
        <w:rPr>
          <w:rFonts w:ascii="Times New Roman" w:hAnsi="Times New Roman"/>
          <w:sz w:val="24"/>
          <w:szCs w:val="24"/>
        </w:rPr>
        <w:t xml:space="preserve"> of </w:t>
      </w:r>
      <w:r w:rsidR="00F6102B">
        <w:rPr>
          <w:rFonts w:ascii="Times New Roman" w:hAnsi="Times New Roman"/>
          <w:sz w:val="24"/>
          <w:szCs w:val="24"/>
        </w:rPr>
        <w:t>Clay County</w:t>
      </w:r>
      <w:r w:rsidR="007C2A2D">
        <w:rPr>
          <w:rFonts w:ascii="Times New Roman" w:hAnsi="Times New Roman"/>
          <w:sz w:val="24"/>
          <w:szCs w:val="24"/>
        </w:rPr>
        <w:t xml:space="preserve"> </w:t>
      </w:r>
      <w:r w:rsidRPr="00FC079C">
        <w:rPr>
          <w:rFonts w:ascii="Times New Roman" w:hAnsi="Times New Roman"/>
          <w:sz w:val="24"/>
          <w:szCs w:val="24"/>
        </w:rPr>
        <w:t>that a need now exists to modify the local income tax rates imposed in the following way:</w:t>
      </w:r>
    </w:p>
    <w:p w14:paraId="65BC5EA9" w14:textId="77777777" w:rsidR="007C7282" w:rsidRPr="00FC079C" w:rsidRDefault="007C7282" w:rsidP="004650A4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860"/>
        <w:gridCol w:w="2070"/>
        <w:gridCol w:w="2160"/>
      </w:tblGrid>
      <w:tr w:rsidR="006D6C1B" w:rsidRPr="00FC079C" w14:paraId="385BA7A0" w14:textId="77777777" w:rsidTr="006048F1">
        <w:tc>
          <w:tcPr>
            <w:tcW w:w="4860" w:type="dxa"/>
            <w:vAlign w:val="bottom"/>
          </w:tcPr>
          <w:p w14:paraId="0688752E" w14:textId="77777777" w:rsidR="006D6C1B" w:rsidRPr="00FC079C" w:rsidRDefault="006D6C1B" w:rsidP="004650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79C">
              <w:rPr>
                <w:rFonts w:ascii="Times New Roman" w:hAnsi="Times New Roman"/>
                <w:b/>
                <w:sz w:val="24"/>
                <w:szCs w:val="24"/>
              </w:rPr>
              <w:t>Allocation Rate Category</w:t>
            </w:r>
          </w:p>
        </w:tc>
        <w:tc>
          <w:tcPr>
            <w:tcW w:w="2070" w:type="dxa"/>
            <w:vAlign w:val="bottom"/>
          </w:tcPr>
          <w:p w14:paraId="3C041BE2" w14:textId="77777777" w:rsidR="006D6C1B" w:rsidRPr="00FC079C" w:rsidRDefault="006D6C1B" w:rsidP="004650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79C">
              <w:rPr>
                <w:rFonts w:ascii="Times New Roman" w:hAnsi="Times New Roman"/>
                <w:b/>
                <w:sz w:val="24"/>
                <w:szCs w:val="24"/>
              </w:rPr>
              <w:t>Existing LIT Rate</w:t>
            </w:r>
          </w:p>
        </w:tc>
        <w:tc>
          <w:tcPr>
            <w:tcW w:w="2160" w:type="dxa"/>
            <w:vAlign w:val="bottom"/>
          </w:tcPr>
          <w:p w14:paraId="04AE9375" w14:textId="77777777" w:rsidR="006D6C1B" w:rsidRPr="00FC079C" w:rsidRDefault="006D6C1B" w:rsidP="004650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79C">
              <w:rPr>
                <w:rFonts w:ascii="Times New Roman" w:hAnsi="Times New Roman"/>
                <w:b/>
                <w:sz w:val="24"/>
                <w:szCs w:val="24"/>
              </w:rPr>
              <w:t>Proposed LIT Rate</w:t>
            </w:r>
          </w:p>
        </w:tc>
      </w:tr>
      <w:tr w:rsidR="00F6102B" w:rsidRPr="00FC079C" w14:paraId="018B83A6" w14:textId="77777777" w:rsidTr="006048F1">
        <w:tc>
          <w:tcPr>
            <w:tcW w:w="4860" w:type="dxa"/>
          </w:tcPr>
          <w:p w14:paraId="2F3A80D7" w14:textId="1B0A499F" w:rsidR="00F6102B" w:rsidRPr="00FC079C" w:rsidRDefault="00F6102B" w:rsidP="00F6102B">
            <w:pPr>
              <w:rPr>
                <w:rFonts w:ascii="Times New Roman" w:hAnsi="Times New Roman"/>
                <w:sz w:val="24"/>
                <w:szCs w:val="24"/>
              </w:rPr>
            </w:pPr>
            <w:r w:rsidRPr="00FC079C">
              <w:rPr>
                <w:rFonts w:ascii="Times New Roman" w:hAnsi="Times New Roman"/>
                <w:sz w:val="24"/>
                <w:szCs w:val="24"/>
              </w:rPr>
              <w:t>Certified Shares (I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 </w:t>
            </w:r>
            <w:r w:rsidRPr="00FC079C">
              <w:rPr>
                <w:rFonts w:ascii="Times New Roman" w:hAnsi="Times New Roman"/>
                <w:sz w:val="24"/>
                <w:szCs w:val="24"/>
              </w:rPr>
              <w:t>6-3.6-6)</w:t>
            </w:r>
          </w:p>
        </w:tc>
        <w:tc>
          <w:tcPr>
            <w:tcW w:w="2070" w:type="dxa"/>
          </w:tcPr>
          <w:p w14:paraId="726D782B" w14:textId="5D9D0DB4" w:rsidR="00F6102B" w:rsidRPr="00FC079C" w:rsidRDefault="00F6102B" w:rsidP="00F6102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1.00</w:t>
            </w:r>
            <w:r w:rsidRPr="00FC079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</w:tcPr>
          <w:p w14:paraId="6CA7EF12" w14:textId="78D5D856" w:rsidR="00F6102B" w:rsidRPr="00FC079C" w:rsidRDefault="00F6102B" w:rsidP="00F6102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1.00</w:t>
            </w:r>
            <w:r w:rsidRPr="00FC079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F6102B" w:rsidRPr="00FC079C" w14:paraId="38387F0D" w14:textId="77777777" w:rsidTr="006048F1">
        <w:tc>
          <w:tcPr>
            <w:tcW w:w="4860" w:type="dxa"/>
          </w:tcPr>
          <w:p w14:paraId="60461F64" w14:textId="37C4FA7D" w:rsidR="00F6102B" w:rsidRPr="00FC079C" w:rsidRDefault="00F6102B" w:rsidP="00F6102B">
            <w:pPr>
              <w:rPr>
                <w:rFonts w:ascii="Times New Roman" w:hAnsi="Times New Roman"/>
                <w:sz w:val="24"/>
                <w:szCs w:val="24"/>
              </w:rPr>
            </w:pPr>
            <w:r w:rsidRPr="00FC079C">
              <w:rPr>
                <w:rFonts w:ascii="Times New Roman" w:hAnsi="Times New Roman"/>
                <w:sz w:val="24"/>
                <w:szCs w:val="24"/>
              </w:rPr>
              <w:t>Public Safety (I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 </w:t>
            </w:r>
            <w:r w:rsidRPr="00FC079C">
              <w:rPr>
                <w:rFonts w:ascii="Times New Roman" w:hAnsi="Times New Roman"/>
                <w:sz w:val="24"/>
                <w:szCs w:val="24"/>
              </w:rPr>
              <w:t>6-3.6-6)</w:t>
            </w:r>
          </w:p>
        </w:tc>
        <w:tc>
          <w:tcPr>
            <w:tcW w:w="2070" w:type="dxa"/>
          </w:tcPr>
          <w:p w14:paraId="7D2F1FFC" w14:textId="74BC7D65" w:rsidR="00F6102B" w:rsidRPr="00FC079C" w:rsidRDefault="00F6102B" w:rsidP="00F6102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0.35</w:t>
            </w:r>
            <w:r w:rsidRPr="00FC079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</w:tcPr>
          <w:p w14:paraId="13EAF7FE" w14:textId="33485994" w:rsidR="00F6102B" w:rsidRPr="00FC079C" w:rsidRDefault="00F6102B" w:rsidP="00F6102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0.35</w:t>
            </w:r>
            <w:r w:rsidRPr="00FC079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F6102B" w:rsidRPr="00FC079C" w14:paraId="13F666ED" w14:textId="77777777" w:rsidTr="006048F1">
        <w:tc>
          <w:tcPr>
            <w:tcW w:w="4860" w:type="dxa"/>
          </w:tcPr>
          <w:p w14:paraId="6A6EDCE7" w14:textId="5FFF29E8" w:rsidR="00F6102B" w:rsidRPr="00FC079C" w:rsidRDefault="00F6102B" w:rsidP="00F610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C079C">
              <w:rPr>
                <w:rFonts w:ascii="Times New Roman" w:hAnsi="Times New Roman"/>
                <w:sz w:val="24"/>
                <w:szCs w:val="24"/>
              </w:rPr>
              <w:t>Economic Development (I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 </w:t>
            </w:r>
            <w:r w:rsidRPr="00FC079C">
              <w:rPr>
                <w:rFonts w:ascii="Times New Roman" w:hAnsi="Times New Roman"/>
                <w:sz w:val="24"/>
                <w:szCs w:val="24"/>
              </w:rPr>
              <w:t>6-3.6-6)</w:t>
            </w:r>
          </w:p>
        </w:tc>
        <w:tc>
          <w:tcPr>
            <w:tcW w:w="2070" w:type="dxa"/>
          </w:tcPr>
          <w:p w14:paraId="3A1D7930" w14:textId="1A0F81F1" w:rsidR="00F6102B" w:rsidRPr="00FC079C" w:rsidRDefault="00F6102B" w:rsidP="00F6102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</w:t>
            </w:r>
            <w:r w:rsidRPr="00FC079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</w:tcPr>
          <w:p w14:paraId="17BEF62A" w14:textId="3DC69F5A" w:rsidR="00F6102B" w:rsidRPr="00FC079C" w:rsidRDefault="00F6102B" w:rsidP="00F6102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</w:t>
            </w:r>
            <w:r w:rsidRPr="00FC079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F6102B" w:rsidRPr="00FC079C" w14:paraId="26BAF23D" w14:textId="77777777" w:rsidTr="006048F1">
        <w:tc>
          <w:tcPr>
            <w:tcW w:w="4860" w:type="dxa"/>
          </w:tcPr>
          <w:p w14:paraId="6ED75861" w14:textId="65DDFD61" w:rsidR="00F6102B" w:rsidRPr="00FC079C" w:rsidRDefault="00F6102B" w:rsidP="00F6102B">
            <w:pPr>
              <w:rPr>
                <w:rFonts w:ascii="Times New Roman" w:hAnsi="Times New Roman"/>
                <w:sz w:val="24"/>
                <w:szCs w:val="24"/>
              </w:rPr>
            </w:pPr>
            <w:r w:rsidRPr="00FC079C">
              <w:rPr>
                <w:rFonts w:ascii="Times New Roman" w:hAnsi="Times New Roman"/>
                <w:sz w:val="24"/>
                <w:szCs w:val="24"/>
              </w:rPr>
              <w:t>Property Tax Relief Rate</w:t>
            </w:r>
            <w:r w:rsidRPr="00FC079C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FC079C">
              <w:rPr>
                <w:rFonts w:ascii="Times New Roman" w:hAnsi="Times New Roman"/>
                <w:sz w:val="24"/>
                <w:szCs w:val="24"/>
              </w:rPr>
              <w:t xml:space="preserve"> (I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 </w:t>
            </w:r>
            <w:r w:rsidRPr="00FC079C">
              <w:rPr>
                <w:rFonts w:ascii="Times New Roman" w:hAnsi="Times New Roman"/>
                <w:sz w:val="24"/>
                <w:szCs w:val="24"/>
              </w:rPr>
              <w:t>6-3.6-5)</w:t>
            </w:r>
          </w:p>
        </w:tc>
        <w:tc>
          <w:tcPr>
            <w:tcW w:w="2070" w:type="dxa"/>
          </w:tcPr>
          <w:p w14:paraId="5666699D" w14:textId="15EC5DDF" w:rsidR="00F6102B" w:rsidRPr="00FC079C" w:rsidRDefault="00F6102B" w:rsidP="00F6102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0.75</w:t>
            </w:r>
            <w:r w:rsidRPr="00FC079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</w:tcPr>
          <w:p w14:paraId="31EE86ED" w14:textId="227326F1" w:rsidR="00F6102B" w:rsidRPr="00FC079C" w:rsidRDefault="00F6102B" w:rsidP="00F6102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0.75</w:t>
            </w:r>
            <w:r w:rsidRPr="00FC079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F6102B" w:rsidRPr="00FC079C" w14:paraId="155BCDD0" w14:textId="77777777" w:rsidTr="006048F1">
        <w:trPr>
          <w:trHeight w:val="215"/>
        </w:trPr>
        <w:tc>
          <w:tcPr>
            <w:tcW w:w="4860" w:type="dxa"/>
          </w:tcPr>
          <w:p w14:paraId="6CEBD437" w14:textId="55E56048" w:rsidR="00F6102B" w:rsidRPr="00FC079C" w:rsidRDefault="00F6102B" w:rsidP="00F6102B">
            <w:pPr>
              <w:rPr>
                <w:rFonts w:ascii="Times New Roman" w:hAnsi="Times New Roman"/>
                <w:sz w:val="24"/>
                <w:szCs w:val="24"/>
              </w:rPr>
            </w:pPr>
            <w:r w:rsidRPr="00FC079C">
              <w:rPr>
                <w:rFonts w:ascii="Times New Roman" w:hAnsi="Times New Roman"/>
                <w:sz w:val="24"/>
                <w:szCs w:val="24"/>
              </w:rPr>
              <w:t>Special Purpose Rate</w:t>
            </w:r>
            <w:r w:rsidRPr="00FC079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FC079C">
              <w:rPr>
                <w:rFonts w:ascii="Times New Roman" w:hAnsi="Times New Roman"/>
                <w:sz w:val="24"/>
                <w:szCs w:val="24"/>
              </w:rPr>
              <w:t xml:space="preserve"> (I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 </w:t>
            </w:r>
            <w:r w:rsidRPr="00FC079C">
              <w:rPr>
                <w:rFonts w:ascii="Times New Roman" w:hAnsi="Times New Roman"/>
                <w:sz w:val="24"/>
                <w:szCs w:val="24"/>
              </w:rPr>
              <w:t>6-3.6-7-</w:t>
            </w:r>
            <w:r w:rsidR="001A3E14">
              <w:rPr>
                <w:rFonts w:ascii="Times New Roman" w:hAnsi="Times New Roman"/>
                <w:sz w:val="24"/>
                <w:szCs w:val="24"/>
              </w:rPr>
              <w:t>25</w:t>
            </w:r>
            <w:r w:rsidRPr="00FC079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70" w:type="dxa"/>
          </w:tcPr>
          <w:p w14:paraId="2E393BD1" w14:textId="1E1D9338" w:rsidR="00F6102B" w:rsidRPr="00FC079C" w:rsidRDefault="00F6102B" w:rsidP="00F6102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0.25</w:t>
            </w:r>
            <w:r w:rsidRPr="00FC079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</w:tcPr>
          <w:p w14:paraId="64B881E3" w14:textId="28A1EF0A" w:rsidR="00F6102B" w:rsidRPr="00FC079C" w:rsidRDefault="00F6102B" w:rsidP="00F6102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0.25</w:t>
            </w:r>
            <w:r w:rsidRPr="00FC079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F6102B" w:rsidRPr="00FC079C" w14:paraId="788711F9" w14:textId="77777777" w:rsidTr="006048F1">
        <w:trPr>
          <w:trHeight w:val="215"/>
        </w:trPr>
        <w:tc>
          <w:tcPr>
            <w:tcW w:w="4860" w:type="dxa"/>
          </w:tcPr>
          <w:p w14:paraId="7F455E1B" w14:textId="25F3833D" w:rsidR="00F6102B" w:rsidRPr="00FC079C" w:rsidRDefault="00F6102B" w:rsidP="00F6102B">
            <w:pPr>
              <w:rPr>
                <w:rFonts w:ascii="Times New Roman" w:hAnsi="Times New Roman"/>
                <w:sz w:val="24"/>
                <w:szCs w:val="24"/>
              </w:rPr>
            </w:pPr>
            <w:r w:rsidRPr="00FC079C">
              <w:rPr>
                <w:rFonts w:ascii="Times New Roman" w:hAnsi="Times New Roman"/>
                <w:sz w:val="24"/>
                <w:szCs w:val="24"/>
              </w:rPr>
              <w:t>Correctional or Rehabilitation Facilities</w:t>
            </w:r>
            <w:r w:rsidRPr="00FC079C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FC07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C079C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IC </w:t>
            </w:r>
            <w:r w:rsidRPr="00FC079C">
              <w:rPr>
                <w:rFonts w:ascii="Times New Roman" w:hAnsi="Times New Roman"/>
                <w:sz w:val="24"/>
                <w:szCs w:val="24"/>
              </w:rPr>
              <w:t>6-3.6-6-2.7)</w:t>
            </w:r>
          </w:p>
        </w:tc>
        <w:tc>
          <w:tcPr>
            <w:tcW w:w="2070" w:type="dxa"/>
          </w:tcPr>
          <w:p w14:paraId="23383635" w14:textId="7CC68133" w:rsidR="00F6102B" w:rsidRPr="00FC079C" w:rsidRDefault="00F6102B" w:rsidP="00F6102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</w:t>
            </w:r>
            <w:r w:rsidRPr="00FC079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</w:tcPr>
          <w:p w14:paraId="3E846798" w14:textId="52295D69" w:rsidR="00F6102B" w:rsidRPr="00FC079C" w:rsidRDefault="00F6102B" w:rsidP="00F6102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</w:t>
            </w:r>
            <w:r w:rsidRPr="00FC079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F6102B" w:rsidRPr="00FC079C" w14:paraId="27DC2570" w14:textId="77777777" w:rsidTr="006048F1">
        <w:trPr>
          <w:trHeight w:val="215"/>
        </w:trPr>
        <w:tc>
          <w:tcPr>
            <w:tcW w:w="4860" w:type="dxa"/>
          </w:tcPr>
          <w:p w14:paraId="590340E8" w14:textId="3E3B74ED" w:rsidR="00F6102B" w:rsidRPr="00FC079C" w:rsidRDefault="00F6102B" w:rsidP="00F6102B">
            <w:pPr>
              <w:rPr>
                <w:rFonts w:ascii="Times New Roman" w:hAnsi="Times New Roman"/>
                <w:sz w:val="24"/>
                <w:szCs w:val="24"/>
              </w:rPr>
            </w:pPr>
            <w:r w:rsidRPr="00FC079C">
              <w:rPr>
                <w:rFonts w:ascii="Times New Roman" w:hAnsi="Times New Roman"/>
                <w:sz w:val="24"/>
                <w:szCs w:val="24"/>
              </w:rPr>
              <w:t>Emergency Medical Service</w:t>
            </w:r>
            <w:r w:rsidRPr="00FC079C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FC079C">
              <w:rPr>
                <w:rFonts w:ascii="Times New Roman" w:hAnsi="Times New Roman"/>
                <w:sz w:val="24"/>
                <w:szCs w:val="24"/>
              </w:rPr>
              <w:t xml:space="preserve"> (I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 </w:t>
            </w:r>
            <w:r w:rsidRPr="00FC079C">
              <w:rPr>
                <w:rFonts w:ascii="Times New Roman" w:hAnsi="Times New Roman"/>
                <w:sz w:val="24"/>
                <w:szCs w:val="24"/>
              </w:rPr>
              <w:t>6-3.6-6-2.8)</w:t>
            </w:r>
          </w:p>
        </w:tc>
        <w:tc>
          <w:tcPr>
            <w:tcW w:w="2070" w:type="dxa"/>
          </w:tcPr>
          <w:p w14:paraId="6CDDEF34" w14:textId="342A03C0" w:rsidR="00F6102B" w:rsidRPr="00FC079C" w:rsidRDefault="00F6102B" w:rsidP="00F6102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</w:t>
            </w:r>
            <w:r w:rsidRPr="00FC079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</w:tcPr>
          <w:p w14:paraId="192E7F73" w14:textId="21ECBA30" w:rsidR="00F6102B" w:rsidRPr="00FC079C" w:rsidRDefault="00F6102B" w:rsidP="00F6102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</w:t>
            </w:r>
            <w:r w:rsidRPr="00FC079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14:paraId="7DAFC516" w14:textId="76C6EC47" w:rsidR="006D6C1B" w:rsidRPr="00FC079C" w:rsidRDefault="006D6C1B" w:rsidP="007A130E">
      <w:pPr>
        <w:ind w:left="720" w:hanging="720"/>
        <w:rPr>
          <w:rFonts w:ascii="Times New Roman" w:hAnsi="Times New Roman"/>
          <w:sz w:val="24"/>
          <w:szCs w:val="24"/>
        </w:rPr>
      </w:pPr>
      <w:r w:rsidRPr="00FC079C">
        <w:rPr>
          <w:rFonts w:ascii="Times New Roman" w:hAnsi="Times New Roman"/>
          <w:sz w:val="24"/>
          <w:szCs w:val="24"/>
        </w:rPr>
        <w:t xml:space="preserve">Note 1: Units are encouraged to consider both the county property tax relief LIT rate and the application of property tax relief between the allocation categories. </w:t>
      </w:r>
    </w:p>
    <w:p w14:paraId="5B28CFDB" w14:textId="00268C30" w:rsidR="006D6C1B" w:rsidRPr="00FC079C" w:rsidRDefault="006D6C1B" w:rsidP="007A130E">
      <w:pPr>
        <w:ind w:left="720" w:hanging="720"/>
        <w:rPr>
          <w:rFonts w:ascii="Times New Roman" w:hAnsi="Times New Roman"/>
          <w:sz w:val="24"/>
          <w:szCs w:val="24"/>
        </w:rPr>
      </w:pPr>
      <w:r w:rsidRPr="00FC079C">
        <w:rPr>
          <w:rFonts w:ascii="Times New Roman" w:hAnsi="Times New Roman"/>
          <w:sz w:val="24"/>
          <w:szCs w:val="24"/>
        </w:rPr>
        <w:t xml:space="preserve">Note 2: If a unit is adopting a Special Purpose Rate, the unit must provide the </w:t>
      </w:r>
      <w:r w:rsidR="00A413BF">
        <w:rPr>
          <w:rFonts w:ascii="Times New Roman" w:hAnsi="Times New Roman"/>
          <w:sz w:val="24"/>
          <w:szCs w:val="24"/>
        </w:rPr>
        <w:t>IC</w:t>
      </w:r>
      <w:r w:rsidRPr="00FC079C">
        <w:rPr>
          <w:rFonts w:ascii="Times New Roman" w:hAnsi="Times New Roman"/>
          <w:sz w:val="24"/>
          <w:szCs w:val="24"/>
        </w:rPr>
        <w:t xml:space="preserve"> for the rate.</w:t>
      </w:r>
    </w:p>
    <w:p w14:paraId="47BAEFEE" w14:textId="60D33770" w:rsidR="006D6C1B" w:rsidRPr="00FC079C" w:rsidRDefault="006D6C1B" w:rsidP="007A130E">
      <w:pPr>
        <w:ind w:left="720" w:hanging="720"/>
        <w:rPr>
          <w:rFonts w:ascii="Times New Roman" w:hAnsi="Times New Roman"/>
          <w:sz w:val="24"/>
          <w:szCs w:val="24"/>
        </w:rPr>
      </w:pPr>
      <w:r w:rsidRPr="00FC079C">
        <w:rPr>
          <w:rFonts w:ascii="Times New Roman" w:hAnsi="Times New Roman"/>
          <w:sz w:val="24"/>
          <w:szCs w:val="24"/>
        </w:rPr>
        <w:t>Note 3: This is new option for 2018 passed under HEA 1263. The tax rate must be in increments of one-hundredth of one percent (0.01%) and may not exceed two-tenths of one percent (0.2%). This tax rate may only be imposed by a county fiscal body.</w:t>
      </w:r>
    </w:p>
    <w:p w14:paraId="5466930A" w14:textId="7B939CE7" w:rsidR="006D6C1B" w:rsidRPr="00FC079C" w:rsidRDefault="00C14592" w:rsidP="007A130E">
      <w:pPr>
        <w:pStyle w:val="NoSpacing"/>
        <w:ind w:left="720" w:hanging="720"/>
        <w:rPr>
          <w:rFonts w:ascii="Times New Roman" w:hAnsi="Times New Roman"/>
          <w:b/>
          <w:sz w:val="24"/>
          <w:szCs w:val="24"/>
        </w:rPr>
      </w:pPr>
      <w:r w:rsidRPr="00FC079C">
        <w:rPr>
          <w:rFonts w:ascii="Times New Roman" w:hAnsi="Times New Roman"/>
          <w:sz w:val="24"/>
          <w:szCs w:val="24"/>
        </w:rPr>
        <w:t>Note 4:</w:t>
      </w:r>
      <w:r w:rsidRPr="00FC079C">
        <w:rPr>
          <w:rFonts w:ascii="Times New Roman" w:hAnsi="Times New Roman"/>
          <w:sz w:val="24"/>
          <w:szCs w:val="24"/>
        </w:rPr>
        <w:tab/>
        <w:t xml:space="preserve">This is a new option for 2022 passed under HEA 1246. The tax rate must be in increments of one-hundredth of one percent (0.01%) and may not exceed two-tenths of one percent (0.2%). This tax rate may only be imposed by a county fiscal body. </w:t>
      </w:r>
      <w:r w:rsidR="00A413BF">
        <w:rPr>
          <w:rFonts w:ascii="Times New Roman" w:hAnsi="Times New Roman"/>
          <w:sz w:val="24"/>
          <w:szCs w:val="24"/>
        </w:rPr>
        <w:t>The o</w:t>
      </w:r>
      <w:r w:rsidRPr="00FC079C">
        <w:rPr>
          <w:rFonts w:ascii="Times New Roman" w:hAnsi="Times New Roman"/>
          <w:sz w:val="24"/>
          <w:szCs w:val="24"/>
        </w:rPr>
        <w:t xml:space="preserve">ption is only available to counties that </w:t>
      </w:r>
      <w:r w:rsidR="001F337C" w:rsidRPr="00FC079C">
        <w:rPr>
          <w:rFonts w:ascii="Times New Roman" w:hAnsi="Times New Roman"/>
          <w:sz w:val="24"/>
          <w:szCs w:val="24"/>
        </w:rPr>
        <w:t>(1) provide emergency medical services for all local units in the county; and (2) pay one hundred percent (100%) of the costs to provide those services.</w:t>
      </w:r>
    </w:p>
    <w:p w14:paraId="6B8CC3CF" w14:textId="77777777" w:rsidR="00C14592" w:rsidRPr="00FC079C" w:rsidRDefault="00C14592" w:rsidP="004650A4">
      <w:pPr>
        <w:ind w:left="2160" w:hanging="2160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0226" w:type="dxa"/>
        <w:tblInd w:w="-185" w:type="dxa"/>
        <w:tblLook w:val="04A0" w:firstRow="1" w:lastRow="0" w:firstColumn="1" w:lastColumn="0" w:noHBand="0" w:noVBand="1"/>
      </w:tblPr>
      <w:tblGrid>
        <w:gridCol w:w="7290"/>
        <w:gridCol w:w="1440"/>
        <w:gridCol w:w="1496"/>
      </w:tblGrid>
      <w:tr w:rsidR="006D6C1B" w:rsidRPr="00FC079C" w14:paraId="7FEE5C01" w14:textId="77777777" w:rsidTr="00EE6221">
        <w:tc>
          <w:tcPr>
            <w:tcW w:w="7290" w:type="dxa"/>
          </w:tcPr>
          <w:p w14:paraId="7E23C650" w14:textId="77777777" w:rsidR="008B6DF1" w:rsidRPr="00FC079C" w:rsidRDefault="006D6C1B" w:rsidP="004650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79C">
              <w:rPr>
                <w:rFonts w:ascii="Times New Roman" w:hAnsi="Times New Roman"/>
                <w:b/>
                <w:sz w:val="24"/>
                <w:szCs w:val="24"/>
              </w:rPr>
              <w:t xml:space="preserve">Property Tax Credit </w:t>
            </w:r>
          </w:p>
          <w:p w14:paraId="3D7BE98B" w14:textId="77777777" w:rsidR="006D6C1B" w:rsidRPr="00FC079C" w:rsidRDefault="006D6C1B" w:rsidP="004650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79C">
              <w:rPr>
                <w:rFonts w:ascii="Times New Roman" w:hAnsi="Times New Roman"/>
                <w:b/>
                <w:sz w:val="24"/>
                <w:szCs w:val="24"/>
              </w:rPr>
              <w:t>Allocation Categories</w:t>
            </w:r>
          </w:p>
          <w:p w14:paraId="55BB4459" w14:textId="3E88B4BF" w:rsidR="006D6C1B" w:rsidRPr="00FC079C" w:rsidRDefault="006D6C1B" w:rsidP="004650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8F1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A413BF">
              <w:rPr>
                <w:rFonts w:ascii="Times New Roman" w:hAnsi="Times New Roman"/>
                <w:b/>
                <w:sz w:val="24"/>
                <w:szCs w:val="24"/>
              </w:rPr>
              <w:t xml:space="preserve">IC </w:t>
            </w:r>
            <w:r w:rsidRPr="006048F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FC079C">
              <w:rPr>
                <w:rFonts w:ascii="Times New Roman" w:hAnsi="Times New Roman"/>
                <w:b/>
                <w:sz w:val="24"/>
                <w:szCs w:val="24"/>
              </w:rPr>
              <w:t>-3.6-5-6)</w:t>
            </w:r>
          </w:p>
        </w:tc>
        <w:tc>
          <w:tcPr>
            <w:tcW w:w="1440" w:type="dxa"/>
          </w:tcPr>
          <w:p w14:paraId="0C39F5C8" w14:textId="77777777" w:rsidR="008B6DF1" w:rsidRPr="00FC079C" w:rsidRDefault="006D6C1B" w:rsidP="004650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79C">
              <w:rPr>
                <w:rFonts w:ascii="Times New Roman" w:hAnsi="Times New Roman"/>
                <w:b/>
                <w:sz w:val="24"/>
                <w:szCs w:val="24"/>
              </w:rPr>
              <w:t xml:space="preserve">Existing </w:t>
            </w:r>
          </w:p>
          <w:p w14:paraId="2696BF44" w14:textId="77777777" w:rsidR="006D6C1B" w:rsidRPr="00FC079C" w:rsidRDefault="006D6C1B" w:rsidP="004650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79C">
              <w:rPr>
                <w:rFonts w:ascii="Times New Roman" w:hAnsi="Times New Roman"/>
                <w:b/>
                <w:sz w:val="24"/>
                <w:szCs w:val="24"/>
              </w:rPr>
              <w:t xml:space="preserve">Percent </w:t>
            </w:r>
          </w:p>
          <w:p w14:paraId="003463BB" w14:textId="77777777" w:rsidR="006D6C1B" w:rsidRPr="00FC079C" w:rsidRDefault="006D6C1B" w:rsidP="004650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79C">
              <w:rPr>
                <w:rFonts w:ascii="Times New Roman" w:hAnsi="Times New Roman"/>
                <w:b/>
                <w:sz w:val="24"/>
                <w:szCs w:val="24"/>
              </w:rPr>
              <w:t>of Revenue</w:t>
            </w:r>
          </w:p>
        </w:tc>
        <w:tc>
          <w:tcPr>
            <w:tcW w:w="1496" w:type="dxa"/>
          </w:tcPr>
          <w:p w14:paraId="74E2B01B" w14:textId="77777777" w:rsidR="008B6DF1" w:rsidRPr="00FC079C" w:rsidRDefault="006D6C1B" w:rsidP="004650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79C">
              <w:rPr>
                <w:rFonts w:ascii="Times New Roman" w:hAnsi="Times New Roman"/>
                <w:b/>
                <w:sz w:val="24"/>
                <w:szCs w:val="24"/>
              </w:rPr>
              <w:t xml:space="preserve">Proposed </w:t>
            </w:r>
          </w:p>
          <w:p w14:paraId="378AFE56" w14:textId="77777777" w:rsidR="006D6C1B" w:rsidRPr="00FC079C" w:rsidRDefault="006D6C1B" w:rsidP="004650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79C">
              <w:rPr>
                <w:rFonts w:ascii="Times New Roman" w:hAnsi="Times New Roman"/>
                <w:b/>
                <w:sz w:val="24"/>
                <w:szCs w:val="24"/>
              </w:rPr>
              <w:t xml:space="preserve">Percent </w:t>
            </w:r>
          </w:p>
          <w:p w14:paraId="6A4BFB23" w14:textId="77777777" w:rsidR="006D6C1B" w:rsidRPr="00FC079C" w:rsidRDefault="006D6C1B" w:rsidP="004650A4">
            <w:pPr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FC079C">
              <w:rPr>
                <w:rFonts w:ascii="Times New Roman" w:hAnsi="Times New Roman"/>
                <w:b/>
                <w:sz w:val="24"/>
                <w:szCs w:val="24"/>
              </w:rPr>
              <w:t>of Revenue</w:t>
            </w:r>
            <w:r w:rsidRPr="00FC079C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4</w:t>
            </w:r>
          </w:p>
        </w:tc>
      </w:tr>
      <w:tr w:rsidR="00A1219D" w:rsidRPr="00FC079C" w14:paraId="7935D132" w14:textId="77777777" w:rsidTr="00EE6221">
        <w:tc>
          <w:tcPr>
            <w:tcW w:w="7290" w:type="dxa"/>
          </w:tcPr>
          <w:p w14:paraId="764CA0F3" w14:textId="77777777" w:rsidR="00A1219D" w:rsidRPr="00FC079C" w:rsidRDefault="00A1219D" w:rsidP="004650A4">
            <w:pPr>
              <w:rPr>
                <w:rFonts w:ascii="Times New Roman" w:hAnsi="Times New Roman"/>
                <w:sz w:val="24"/>
                <w:szCs w:val="24"/>
              </w:rPr>
            </w:pPr>
            <w:r w:rsidRPr="00FC079C">
              <w:rPr>
                <w:rFonts w:ascii="Times New Roman" w:hAnsi="Times New Roman"/>
                <w:sz w:val="24"/>
                <w:szCs w:val="24"/>
              </w:rPr>
              <w:t>All Property Tax Allocation Categories</w:t>
            </w:r>
          </w:p>
        </w:tc>
        <w:tc>
          <w:tcPr>
            <w:tcW w:w="1440" w:type="dxa"/>
          </w:tcPr>
          <w:p w14:paraId="74C77D97" w14:textId="211DF1BB" w:rsidR="00A1219D" w:rsidRPr="00FC079C" w:rsidRDefault="00F6102B" w:rsidP="004650A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</w:t>
            </w:r>
            <w:r w:rsidR="00A1219D" w:rsidRPr="00FC079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96" w:type="dxa"/>
          </w:tcPr>
          <w:p w14:paraId="2429F8AD" w14:textId="3ACA5EE8" w:rsidR="00A1219D" w:rsidRPr="00FC079C" w:rsidRDefault="00F6102B" w:rsidP="004650A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</w:t>
            </w:r>
            <w:r w:rsidR="00A1219D" w:rsidRPr="00FC079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1219D" w:rsidRPr="00FC079C" w14:paraId="4E15F330" w14:textId="77777777" w:rsidTr="00EE6221">
        <w:tc>
          <w:tcPr>
            <w:tcW w:w="7290" w:type="dxa"/>
          </w:tcPr>
          <w:p w14:paraId="20A76EE4" w14:textId="77777777" w:rsidR="00A1219D" w:rsidRPr="00FC079C" w:rsidRDefault="00A1219D" w:rsidP="004650A4">
            <w:pPr>
              <w:rPr>
                <w:rFonts w:ascii="Times New Roman" w:hAnsi="Times New Roman"/>
                <w:sz w:val="24"/>
                <w:szCs w:val="24"/>
              </w:rPr>
            </w:pPr>
            <w:r w:rsidRPr="00FC079C">
              <w:rPr>
                <w:rFonts w:ascii="Times New Roman" w:hAnsi="Times New Roman"/>
                <w:sz w:val="24"/>
                <w:szCs w:val="24"/>
              </w:rPr>
              <w:t xml:space="preserve">1% Allocation Type: </w:t>
            </w:r>
          </w:p>
          <w:p w14:paraId="5255E0E4" w14:textId="1D8ACB65" w:rsidR="00A1219D" w:rsidRPr="00FC079C" w:rsidRDefault="00A1219D" w:rsidP="004650A4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C079C">
              <w:rPr>
                <w:rFonts w:ascii="Times New Roman" w:hAnsi="Times New Roman"/>
                <w:i/>
                <w:iCs/>
                <w:sz w:val="24"/>
                <w:szCs w:val="24"/>
              </w:rPr>
              <w:t>Homesteads eligible for a credit u</w:t>
            </w:r>
            <w:r w:rsidRPr="00462A2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nder </w:t>
            </w:r>
            <w:r w:rsidR="00A413B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IC </w:t>
            </w:r>
            <w:r w:rsidRPr="00462A29">
              <w:rPr>
                <w:rFonts w:ascii="Times New Roman" w:hAnsi="Times New Roman"/>
                <w:i/>
                <w:iCs/>
                <w:sz w:val="24"/>
                <w:szCs w:val="24"/>
              </w:rPr>
              <w:t>6-1.1-20.6-</w:t>
            </w:r>
            <w:r w:rsidRPr="00FC079C">
              <w:rPr>
                <w:rFonts w:ascii="Times New Roman" w:hAnsi="Times New Roman"/>
                <w:i/>
                <w:iCs/>
                <w:sz w:val="24"/>
                <w:szCs w:val="24"/>
              </w:rPr>
              <w:t>7.5.</w:t>
            </w:r>
          </w:p>
        </w:tc>
        <w:tc>
          <w:tcPr>
            <w:tcW w:w="1440" w:type="dxa"/>
          </w:tcPr>
          <w:p w14:paraId="43A17048" w14:textId="22B0A238" w:rsidR="00A1219D" w:rsidRPr="00FC079C" w:rsidRDefault="00F6102B" w:rsidP="004650A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</w:t>
            </w:r>
            <w:r w:rsidR="00A1219D" w:rsidRPr="00FC079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96" w:type="dxa"/>
          </w:tcPr>
          <w:p w14:paraId="235D51C0" w14:textId="4D65D459" w:rsidR="00A1219D" w:rsidRPr="00FC079C" w:rsidRDefault="00F6102B" w:rsidP="004650A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60.00</w:t>
            </w:r>
            <w:r w:rsidR="00A1219D" w:rsidRPr="00FC079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1219D" w:rsidRPr="00FC079C" w14:paraId="5F3BE783" w14:textId="77777777" w:rsidTr="00EE6221">
        <w:tc>
          <w:tcPr>
            <w:tcW w:w="7290" w:type="dxa"/>
          </w:tcPr>
          <w:p w14:paraId="3B1F5A5F" w14:textId="77777777" w:rsidR="00A1219D" w:rsidRPr="00FC079C" w:rsidRDefault="00A1219D" w:rsidP="004650A4">
            <w:pPr>
              <w:rPr>
                <w:rFonts w:ascii="Times New Roman" w:hAnsi="Times New Roman"/>
                <w:sz w:val="24"/>
                <w:szCs w:val="24"/>
              </w:rPr>
            </w:pPr>
            <w:r w:rsidRPr="00FC079C">
              <w:rPr>
                <w:rFonts w:ascii="Times New Roman" w:hAnsi="Times New Roman"/>
                <w:sz w:val="24"/>
                <w:szCs w:val="24"/>
              </w:rPr>
              <w:t xml:space="preserve">2% Allocation Type </w:t>
            </w:r>
          </w:p>
          <w:p w14:paraId="3CDAB180" w14:textId="6FA19313" w:rsidR="00A1219D" w:rsidRPr="00FC079C" w:rsidRDefault="00A1219D" w:rsidP="004650A4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C079C">
              <w:rPr>
                <w:rFonts w:ascii="Times New Roman" w:hAnsi="Times New Roman"/>
                <w:i/>
                <w:iCs/>
                <w:sz w:val="24"/>
                <w:szCs w:val="24"/>
              </w:rPr>
              <w:t>Residential property, agricultural land, long</w:t>
            </w:r>
            <w:r w:rsidR="00A413BF">
              <w:rPr>
                <w:rFonts w:ascii="Times New Roman" w:hAnsi="Times New Roman"/>
                <w:i/>
                <w:iCs/>
                <w:sz w:val="24"/>
                <w:szCs w:val="24"/>
              </w:rPr>
              <w:t>-</w:t>
            </w:r>
            <w:r w:rsidRPr="00FC079C">
              <w:rPr>
                <w:rFonts w:ascii="Times New Roman" w:hAnsi="Times New Roman"/>
                <w:i/>
                <w:iCs/>
                <w:sz w:val="24"/>
                <w:szCs w:val="24"/>
              </w:rPr>
              <w:t>term care property, and other tangible property eligible for a cr</w:t>
            </w:r>
            <w:r w:rsidRPr="00462A2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edit under </w:t>
            </w:r>
            <w:r w:rsidR="00A413B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IC </w:t>
            </w:r>
            <w:r w:rsidRPr="00462A2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6-1.1-20.6-7.5. </w:t>
            </w:r>
          </w:p>
        </w:tc>
        <w:tc>
          <w:tcPr>
            <w:tcW w:w="1440" w:type="dxa"/>
          </w:tcPr>
          <w:p w14:paraId="2CD83DD0" w14:textId="3457D86D" w:rsidR="00A1219D" w:rsidRPr="00FC079C" w:rsidRDefault="00F6102B" w:rsidP="004650A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</w:t>
            </w:r>
            <w:r w:rsidR="00A1219D" w:rsidRPr="00FC079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96" w:type="dxa"/>
          </w:tcPr>
          <w:p w14:paraId="7EC824E2" w14:textId="704129EB" w:rsidR="00A1219D" w:rsidRPr="00FC079C" w:rsidRDefault="00F6102B" w:rsidP="004650A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</w:t>
            </w:r>
            <w:r w:rsidR="00A1219D" w:rsidRPr="00FC079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1219D" w:rsidRPr="00FC079C" w14:paraId="44CD3E87" w14:textId="77777777" w:rsidTr="00EE6221">
        <w:tc>
          <w:tcPr>
            <w:tcW w:w="7290" w:type="dxa"/>
          </w:tcPr>
          <w:p w14:paraId="182D7EB5" w14:textId="77777777" w:rsidR="00A1219D" w:rsidRPr="00FC079C" w:rsidRDefault="00A1219D" w:rsidP="004650A4">
            <w:pPr>
              <w:rPr>
                <w:rFonts w:ascii="Times New Roman" w:hAnsi="Times New Roman"/>
                <w:sz w:val="24"/>
                <w:szCs w:val="24"/>
              </w:rPr>
            </w:pPr>
            <w:r w:rsidRPr="00FC079C">
              <w:rPr>
                <w:rFonts w:ascii="Times New Roman" w:hAnsi="Times New Roman"/>
                <w:sz w:val="24"/>
                <w:szCs w:val="24"/>
              </w:rPr>
              <w:t xml:space="preserve">3% Allocation Type </w:t>
            </w:r>
          </w:p>
          <w:p w14:paraId="2462B1BC" w14:textId="77777777" w:rsidR="00A1219D" w:rsidRPr="00FC079C" w:rsidRDefault="00A1219D" w:rsidP="004650A4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C079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Nonresidential real property, personal property, </w:t>
            </w:r>
          </w:p>
          <w:p w14:paraId="794933D0" w14:textId="70A9AA85" w:rsidR="00A1219D" w:rsidRPr="00FC079C" w:rsidRDefault="00A1219D" w:rsidP="004650A4">
            <w:pPr>
              <w:rPr>
                <w:rFonts w:ascii="Times New Roman" w:hAnsi="Times New Roman"/>
                <w:sz w:val="24"/>
                <w:szCs w:val="24"/>
              </w:rPr>
            </w:pPr>
            <w:r w:rsidRPr="00FC079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and other tangible property eligible for a credit under </w:t>
            </w:r>
            <w:r w:rsidR="00A413B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IC </w:t>
            </w:r>
            <w:r w:rsidRPr="00FC079C">
              <w:rPr>
                <w:rFonts w:ascii="Times New Roman" w:hAnsi="Times New Roman"/>
                <w:i/>
                <w:iCs/>
                <w:sz w:val="24"/>
                <w:szCs w:val="24"/>
              </w:rPr>
              <w:t>6-1.1-20.6-7.5.</w:t>
            </w:r>
          </w:p>
        </w:tc>
        <w:tc>
          <w:tcPr>
            <w:tcW w:w="1440" w:type="dxa"/>
          </w:tcPr>
          <w:p w14:paraId="0855AD73" w14:textId="265AEA14" w:rsidR="00A1219D" w:rsidRPr="00FC079C" w:rsidRDefault="00F6102B" w:rsidP="004650A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</w:t>
            </w:r>
            <w:r w:rsidR="00A1219D" w:rsidRPr="00FC079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96" w:type="dxa"/>
          </w:tcPr>
          <w:p w14:paraId="59EBC40E" w14:textId="097A382C" w:rsidR="00A1219D" w:rsidRPr="00FC079C" w:rsidRDefault="00F6102B" w:rsidP="004650A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</w:t>
            </w:r>
            <w:r w:rsidR="00A1219D" w:rsidRPr="00FC079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1219D" w:rsidRPr="00FC079C" w14:paraId="0A83726C" w14:textId="77777777" w:rsidTr="00EE6221">
        <w:tc>
          <w:tcPr>
            <w:tcW w:w="7290" w:type="dxa"/>
          </w:tcPr>
          <w:p w14:paraId="10E49B09" w14:textId="4C30DF77" w:rsidR="00A1219D" w:rsidRPr="00FC079C" w:rsidRDefault="00A1219D" w:rsidP="004650A4">
            <w:pPr>
              <w:rPr>
                <w:rFonts w:ascii="Times New Roman" w:hAnsi="Times New Roman"/>
                <w:sz w:val="24"/>
                <w:szCs w:val="24"/>
              </w:rPr>
            </w:pPr>
            <w:r w:rsidRPr="00FC079C">
              <w:rPr>
                <w:rFonts w:ascii="Times New Roman" w:hAnsi="Times New Roman"/>
                <w:sz w:val="24"/>
                <w:szCs w:val="24"/>
              </w:rPr>
              <w:t>Residential property, as defined in</w:t>
            </w:r>
            <w:r w:rsidRPr="00A413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13BF" w:rsidRPr="00A413BF">
              <w:rPr>
                <w:rFonts w:ascii="Times New Roman" w:hAnsi="Times New Roman"/>
                <w:sz w:val="24"/>
                <w:szCs w:val="24"/>
              </w:rPr>
              <w:t xml:space="preserve">IC </w:t>
            </w:r>
            <w:r w:rsidRPr="00FC079C">
              <w:rPr>
                <w:rFonts w:ascii="Times New Roman" w:hAnsi="Times New Roman"/>
                <w:sz w:val="24"/>
                <w:szCs w:val="24"/>
              </w:rPr>
              <w:t>6-1.1-20.6-4.</w:t>
            </w:r>
          </w:p>
        </w:tc>
        <w:tc>
          <w:tcPr>
            <w:tcW w:w="1440" w:type="dxa"/>
          </w:tcPr>
          <w:p w14:paraId="2D1C6184" w14:textId="079BD236" w:rsidR="00A1219D" w:rsidRPr="00FC079C" w:rsidRDefault="00F6102B" w:rsidP="004650A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</w:t>
            </w:r>
            <w:r w:rsidR="00A1219D" w:rsidRPr="00FC079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96" w:type="dxa"/>
          </w:tcPr>
          <w:p w14:paraId="34D5D61A" w14:textId="4182C701" w:rsidR="00A1219D" w:rsidRPr="00FC079C" w:rsidRDefault="00F6102B" w:rsidP="004650A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40.00</w:t>
            </w:r>
            <w:r w:rsidR="00A1219D" w:rsidRPr="00FC079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B03B69" w:rsidRPr="00FC079C" w14:paraId="521B06E7" w14:textId="77777777" w:rsidTr="00455845">
        <w:tc>
          <w:tcPr>
            <w:tcW w:w="7290" w:type="dxa"/>
          </w:tcPr>
          <w:p w14:paraId="7D111A9E" w14:textId="6B11B3A3" w:rsidR="00B03B69" w:rsidRPr="00FC079C" w:rsidRDefault="00B03B69" w:rsidP="004650A4">
            <w:pPr>
              <w:rPr>
                <w:rFonts w:ascii="Times New Roman" w:hAnsi="Times New Roman"/>
                <w:sz w:val="24"/>
                <w:szCs w:val="24"/>
              </w:rPr>
            </w:pPr>
            <w:r w:rsidRPr="00FC079C">
              <w:rPr>
                <w:rFonts w:ascii="Times New Roman" w:hAnsi="Times New Roman"/>
                <w:sz w:val="24"/>
                <w:szCs w:val="24"/>
              </w:rPr>
              <w:t>Qualified Residential Property</w:t>
            </w:r>
          </w:p>
          <w:p w14:paraId="21256522" w14:textId="0764670A" w:rsidR="00795A83" w:rsidRPr="00FC079C" w:rsidRDefault="00795A83" w:rsidP="004650A4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C079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Refers to any of the following, apartment complex, homestead, </w:t>
            </w:r>
          </w:p>
          <w:p w14:paraId="5A3309FA" w14:textId="5444607D" w:rsidR="00B03B69" w:rsidRPr="00FC079C" w:rsidRDefault="00795A83" w:rsidP="004650A4">
            <w:pPr>
              <w:rPr>
                <w:rFonts w:ascii="Times New Roman" w:hAnsi="Times New Roman"/>
                <w:sz w:val="24"/>
                <w:szCs w:val="24"/>
              </w:rPr>
            </w:pPr>
            <w:r w:rsidRPr="00FC079C">
              <w:rPr>
                <w:rFonts w:ascii="Times New Roman" w:hAnsi="Times New Roman"/>
                <w:i/>
                <w:iCs/>
                <w:sz w:val="24"/>
                <w:szCs w:val="24"/>
              </w:rPr>
              <w:t>or residential rental property</w:t>
            </w:r>
            <w:r w:rsidRPr="00FC079C">
              <w:rPr>
                <w:rFonts w:ascii="Times New Roman" w:hAnsi="Times New Roman"/>
                <w:i/>
                <w:iCs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440" w:type="dxa"/>
          </w:tcPr>
          <w:p w14:paraId="1DD85365" w14:textId="77777777" w:rsidR="003C2C59" w:rsidRPr="00FC079C" w:rsidRDefault="003C2C59" w:rsidP="004650A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731298F4" w14:textId="0BE6573D" w:rsidR="00B03B69" w:rsidRPr="00FC079C" w:rsidRDefault="00F6102B" w:rsidP="004650A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100.00</w:t>
            </w:r>
            <w:r w:rsidR="003C2C59" w:rsidRPr="00FC079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96" w:type="dxa"/>
            <w:shd w:val="clear" w:color="auto" w:fill="000000" w:themeFill="text1"/>
          </w:tcPr>
          <w:p w14:paraId="2B82C061" w14:textId="77777777" w:rsidR="00B03B69" w:rsidRPr="00FC079C" w:rsidRDefault="00B03B69" w:rsidP="004650A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FC95DF1" w14:textId="25F38FEE" w:rsidR="006D6C1B" w:rsidRPr="00FC079C" w:rsidRDefault="006D6C1B" w:rsidP="00A413BF">
      <w:pPr>
        <w:ind w:left="720" w:hanging="720"/>
        <w:rPr>
          <w:rFonts w:ascii="Times New Roman" w:hAnsi="Times New Roman"/>
          <w:sz w:val="24"/>
          <w:szCs w:val="24"/>
        </w:rPr>
      </w:pPr>
      <w:r w:rsidRPr="00FC079C">
        <w:rPr>
          <w:rFonts w:ascii="Times New Roman" w:hAnsi="Times New Roman"/>
          <w:sz w:val="24"/>
          <w:szCs w:val="24"/>
        </w:rPr>
        <w:lastRenderedPageBreak/>
        <w:t>Note 4:</w:t>
      </w:r>
      <w:r w:rsidRPr="00FC079C">
        <w:rPr>
          <w:rFonts w:ascii="Times New Roman" w:hAnsi="Times New Roman"/>
          <w:sz w:val="24"/>
          <w:szCs w:val="24"/>
        </w:rPr>
        <w:tab/>
      </w:r>
      <w:r w:rsidR="00A413BF">
        <w:rPr>
          <w:rFonts w:ascii="Times New Roman" w:hAnsi="Times New Roman"/>
          <w:sz w:val="24"/>
          <w:szCs w:val="24"/>
        </w:rPr>
        <w:t xml:space="preserve"> </w:t>
      </w:r>
      <w:r w:rsidRPr="00FC079C">
        <w:rPr>
          <w:rFonts w:ascii="Times New Roman" w:hAnsi="Times New Roman"/>
          <w:sz w:val="24"/>
          <w:szCs w:val="24"/>
        </w:rPr>
        <w:t xml:space="preserve">As per </w:t>
      </w:r>
      <w:r w:rsidR="00A413BF">
        <w:rPr>
          <w:rFonts w:ascii="Times New Roman" w:hAnsi="Times New Roman"/>
          <w:sz w:val="24"/>
          <w:szCs w:val="24"/>
        </w:rPr>
        <w:t xml:space="preserve">IC </w:t>
      </w:r>
      <w:r w:rsidRPr="00FC079C">
        <w:rPr>
          <w:rFonts w:ascii="Times New Roman" w:hAnsi="Times New Roman"/>
          <w:sz w:val="24"/>
          <w:szCs w:val="24"/>
        </w:rPr>
        <w:t>6-3.6-5-6(e), a county may allocate property tax relief to all or any number of categories, but the overall percentage in the Proposed Percent of Revenue column must sum to 100%.</w:t>
      </w:r>
    </w:p>
    <w:p w14:paraId="4033BFAE" w14:textId="739B4002" w:rsidR="00B03B69" w:rsidRPr="00FC079C" w:rsidRDefault="00B03B69" w:rsidP="00A413BF">
      <w:pPr>
        <w:ind w:left="720" w:hanging="720"/>
        <w:rPr>
          <w:rFonts w:ascii="Times New Roman" w:hAnsi="Times New Roman"/>
          <w:sz w:val="24"/>
          <w:szCs w:val="24"/>
        </w:rPr>
      </w:pPr>
      <w:r w:rsidRPr="00FC079C">
        <w:rPr>
          <w:rFonts w:ascii="Times New Roman" w:hAnsi="Times New Roman"/>
          <w:sz w:val="24"/>
          <w:szCs w:val="24"/>
        </w:rPr>
        <w:t xml:space="preserve">Note 5: </w:t>
      </w:r>
      <w:r w:rsidR="00A413BF">
        <w:rPr>
          <w:rFonts w:ascii="Times New Roman" w:hAnsi="Times New Roman"/>
          <w:sz w:val="24"/>
          <w:szCs w:val="24"/>
        </w:rPr>
        <w:t xml:space="preserve"> </w:t>
      </w:r>
      <w:r w:rsidR="00795A83" w:rsidRPr="00FC079C">
        <w:rPr>
          <w:rFonts w:ascii="Times New Roman" w:hAnsi="Times New Roman"/>
          <w:sz w:val="24"/>
          <w:szCs w:val="24"/>
        </w:rPr>
        <w:t xml:space="preserve">Qualified Residential Property is no longer an option for Property Tax Relief. The row is being added to the template </w:t>
      </w:r>
      <w:r w:rsidR="003C2C59" w:rsidRPr="00FC079C">
        <w:rPr>
          <w:rFonts w:ascii="Times New Roman" w:hAnsi="Times New Roman"/>
          <w:sz w:val="24"/>
          <w:szCs w:val="24"/>
        </w:rPr>
        <w:t xml:space="preserve">to allow counties still using the designation to report their current configuration as they change to an active Property Tax Relief option available under </w:t>
      </w:r>
      <w:r w:rsidR="00A413BF">
        <w:rPr>
          <w:rFonts w:ascii="Times New Roman" w:hAnsi="Times New Roman"/>
          <w:sz w:val="24"/>
          <w:szCs w:val="24"/>
        </w:rPr>
        <w:t xml:space="preserve">IC </w:t>
      </w:r>
      <w:r w:rsidR="003C2C59" w:rsidRPr="00FC079C">
        <w:rPr>
          <w:rFonts w:ascii="Times New Roman" w:hAnsi="Times New Roman"/>
          <w:sz w:val="24"/>
          <w:szCs w:val="24"/>
        </w:rPr>
        <w:t>6-3.6.</w:t>
      </w:r>
    </w:p>
    <w:p w14:paraId="425AB373" w14:textId="77777777" w:rsidR="006D6C1B" w:rsidRPr="00FC079C" w:rsidRDefault="006D6C1B" w:rsidP="004650A4">
      <w:pPr>
        <w:pBdr>
          <w:bottom w:val="dotted" w:sz="24" w:space="1" w:color="auto"/>
        </w:pBdr>
        <w:rPr>
          <w:rFonts w:ascii="Times New Roman" w:hAnsi="Times New Roman"/>
          <w:sz w:val="24"/>
          <w:szCs w:val="24"/>
        </w:rPr>
      </w:pPr>
    </w:p>
    <w:p w14:paraId="67E395B7" w14:textId="77777777" w:rsidR="00870041" w:rsidRDefault="00870041" w:rsidP="004650A4">
      <w:pPr>
        <w:rPr>
          <w:rFonts w:ascii="Times New Roman" w:hAnsi="Times New Roman"/>
          <w:b/>
          <w:sz w:val="24"/>
          <w:szCs w:val="24"/>
        </w:rPr>
      </w:pPr>
    </w:p>
    <w:p w14:paraId="2CA30BFC" w14:textId="150DCE24" w:rsidR="006D6C1B" w:rsidRPr="00FC079C" w:rsidRDefault="006D6C1B" w:rsidP="004650A4">
      <w:pPr>
        <w:rPr>
          <w:rFonts w:ascii="Times New Roman" w:hAnsi="Times New Roman"/>
          <w:sz w:val="24"/>
          <w:szCs w:val="24"/>
        </w:rPr>
      </w:pPr>
      <w:r w:rsidRPr="00FC079C">
        <w:rPr>
          <w:rFonts w:ascii="Times New Roman" w:hAnsi="Times New Roman"/>
          <w:b/>
          <w:sz w:val="24"/>
          <w:szCs w:val="24"/>
        </w:rPr>
        <w:t xml:space="preserve">BE IT FURTHER ORDAINED </w:t>
      </w:r>
      <w:r w:rsidRPr="00FC079C">
        <w:rPr>
          <w:rFonts w:ascii="Times New Roman" w:hAnsi="Times New Roman"/>
          <w:sz w:val="24"/>
          <w:szCs w:val="24"/>
        </w:rPr>
        <w:t xml:space="preserve">that a public hearing was held on the proposed local income tax rate modifications on </w:t>
      </w:r>
      <w:r w:rsidR="00A91E87">
        <w:rPr>
          <w:rFonts w:ascii="Times New Roman" w:hAnsi="Times New Roman"/>
          <w:sz w:val="24"/>
          <w:szCs w:val="24"/>
        </w:rPr>
        <w:t>December 5</w:t>
      </w:r>
      <w:r w:rsidRPr="00FC079C">
        <w:rPr>
          <w:rFonts w:ascii="Times New Roman" w:hAnsi="Times New Roman"/>
          <w:sz w:val="24"/>
          <w:szCs w:val="24"/>
        </w:rPr>
        <w:t>, 20</w:t>
      </w:r>
      <w:r w:rsidR="00A91E87">
        <w:rPr>
          <w:rFonts w:ascii="Times New Roman" w:hAnsi="Times New Roman"/>
          <w:sz w:val="24"/>
          <w:szCs w:val="24"/>
        </w:rPr>
        <w:t>22</w:t>
      </w:r>
      <w:r w:rsidRPr="00FC079C">
        <w:rPr>
          <w:rFonts w:ascii="Times New Roman" w:hAnsi="Times New Roman"/>
          <w:sz w:val="24"/>
          <w:szCs w:val="24"/>
        </w:rPr>
        <w:t xml:space="preserve">. Proper notice of the public hearing was provided pursuant to </w:t>
      </w:r>
      <w:r w:rsidR="00A413BF">
        <w:rPr>
          <w:rFonts w:ascii="Times New Roman" w:hAnsi="Times New Roman"/>
          <w:sz w:val="24"/>
          <w:szCs w:val="24"/>
        </w:rPr>
        <w:t xml:space="preserve">IC </w:t>
      </w:r>
      <w:r w:rsidRPr="00FC079C">
        <w:rPr>
          <w:rFonts w:ascii="Times New Roman" w:hAnsi="Times New Roman"/>
          <w:sz w:val="24"/>
          <w:szCs w:val="24"/>
        </w:rPr>
        <w:t xml:space="preserve">5-3-1. </w:t>
      </w:r>
    </w:p>
    <w:p w14:paraId="060F87C9" w14:textId="77777777" w:rsidR="006D6C1B" w:rsidRPr="00FC079C" w:rsidRDefault="006D6C1B" w:rsidP="004650A4">
      <w:pPr>
        <w:rPr>
          <w:rFonts w:ascii="Times New Roman" w:hAnsi="Times New Roman"/>
          <w:sz w:val="24"/>
          <w:szCs w:val="24"/>
        </w:rPr>
      </w:pPr>
    </w:p>
    <w:p w14:paraId="1CD8D734" w14:textId="3ED3EB97" w:rsidR="006D6C1B" w:rsidRPr="00FC079C" w:rsidRDefault="006D6C1B" w:rsidP="004650A4">
      <w:pPr>
        <w:rPr>
          <w:rFonts w:ascii="Times New Roman" w:hAnsi="Times New Roman"/>
          <w:sz w:val="24"/>
          <w:szCs w:val="24"/>
        </w:rPr>
      </w:pPr>
      <w:r w:rsidRPr="00FC079C">
        <w:rPr>
          <w:rFonts w:ascii="Times New Roman" w:hAnsi="Times New Roman"/>
          <w:sz w:val="24"/>
          <w:szCs w:val="24"/>
        </w:rPr>
        <w:t xml:space="preserve">Duly adopted by the following vote of the members of said </w:t>
      </w:r>
      <w:r w:rsidR="00F6102B">
        <w:rPr>
          <w:rFonts w:ascii="Times New Roman" w:hAnsi="Times New Roman"/>
          <w:sz w:val="24"/>
          <w:szCs w:val="24"/>
        </w:rPr>
        <w:t>County Council</w:t>
      </w:r>
      <w:r w:rsidRPr="00FC079C">
        <w:rPr>
          <w:rFonts w:ascii="Times New Roman" w:hAnsi="Times New Roman"/>
          <w:sz w:val="24"/>
          <w:szCs w:val="24"/>
        </w:rPr>
        <w:t xml:space="preserve"> this </w:t>
      </w:r>
    </w:p>
    <w:p w14:paraId="254779C6" w14:textId="55BA73A5" w:rsidR="006D6C1B" w:rsidRPr="00FC079C" w:rsidRDefault="006D6C1B" w:rsidP="004650A4">
      <w:pPr>
        <w:rPr>
          <w:rFonts w:ascii="Times New Roman" w:hAnsi="Times New Roman"/>
          <w:sz w:val="24"/>
          <w:szCs w:val="24"/>
        </w:rPr>
      </w:pPr>
      <w:r w:rsidRPr="00FC079C">
        <w:rPr>
          <w:rFonts w:ascii="Times New Roman" w:hAnsi="Times New Roman"/>
          <w:sz w:val="24"/>
          <w:szCs w:val="24"/>
        </w:rPr>
        <w:t>_____ day of __________, 20_</w:t>
      </w:r>
      <w:r w:rsidR="00044906">
        <w:rPr>
          <w:rFonts w:ascii="Times New Roman" w:hAnsi="Times New Roman"/>
          <w:sz w:val="24"/>
          <w:szCs w:val="24"/>
        </w:rPr>
        <w:t>_</w:t>
      </w:r>
      <w:r w:rsidRPr="00FC079C">
        <w:rPr>
          <w:rFonts w:ascii="Times New Roman" w:hAnsi="Times New Roman"/>
          <w:sz w:val="24"/>
          <w:szCs w:val="24"/>
        </w:rPr>
        <w:t>.</w:t>
      </w:r>
      <w:r w:rsidRPr="00FC079C">
        <w:rPr>
          <w:rFonts w:ascii="Times New Roman" w:hAnsi="Times New Roman"/>
          <w:sz w:val="24"/>
          <w:szCs w:val="24"/>
        </w:rPr>
        <w:tab/>
      </w:r>
      <w:r w:rsidRPr="00FC079C">
        <w:rPr>
          <w:rFonts w:ascii="Times New Roman" w:hAnsi="Times New Roman"/>
          <w:sz w:val="24"/>
          <w:szCs w:val="24"/>
        </w:rPr>
        <w:tab/>
      </w:r>
      <w:r w:rsidRPr="00FC079C">
        <w:rPr>
          <w:rFonts w:ascii="Times New Roman" w:hAnsi="Times New Roman"/>
          <w:sz w:val="24"/>
          <w:szCs w:val="24"/>
        </w:rPr>
        <w:tab/>
      </w:r>
      <w:r w:rsidRPr="00FC079C">
        <w:rPr>
          <w:rFonts w:ascii="Times New Roman" w:hAnsi="Times New Roman"/>
          <w:sz w:val="24"/>
          <w:szCs w:val="24"/>
        </w:rPr>
        <w:tab/>
      </w:r>
      <w:r w:rsidRPr="00FC079C">
        <w:rPr>
          <w:rFonts w:ascii="Times New Roman" w:hAnsi="Times New Roman"/>
          <w:sz w:val="24"/>
          <w:szCs w:val="24"/>
        </w:rPr>
        <w:tab/>
      </w:r>
    </w:p>
    <w:p w14:paraId="4217760C" w14:textId="77777777" w:rsidR="006D6C1B" w:rsidRPr="00FC079C" w:rsidRDefault="006D6C1B" w:rsidP="004650A4">
      <w:pPr>
        <w:rPr>
          <w:rFonts w:ascii="Times New Roman" w:hAnsi="Times New Roman"/>
          <w:b/>
          <w:sz w:val="24"/>
          <w:szCs w:val="24"/>
        </w:rPr>
      </w:pPr>
    </w:p>
    <w:p w14:paraId="19189163" w14:textId="77777777" w:rsidR="006D6C1B" w:rsidRPr="00FC079C" w:rsidRDefault="006D6C1B" w:rsidP="004650A4">
      <w:pPr>
        <w:rPr>
          <w:rFonts w:ascii="Times New Roman" w:hAnsi="Times New Roman"/>
          <w:b/>
          <w:sz w:val="24"/>
          <w:szCs w:val="24"/>
        </w:rPr>
      </w:pPr>
      <w:r w:rsidRPr="00FC079C">
        <w:rPr>
          <w:rFonts w:ascii="Times New Roman" w:hAnsi="Times New Roman"/>
          <w:b/>
          <w:sz w:val="24"/>
          <w:szCs w:val="24"/>
        </w:rPr>
        <w:t>AYE</w:t>
      </w:r>
      <w:r w:rsidRPr="00FC079C">
        <w:rPr>
          <w:rFonts w:ascii="Times New Roman" w:hAnsi="Times New Roman"/>
          <w:b/>
          <w:sz w:val="24"/>
          <w:szCs w:val="24"/>
        </w:rPr>
        <w:tab/>
      </w:r>
      <w:r w:rsidRPr="00FC079C">
        <w:rPr>
          <w:rFonts w:ascii="Times New Roman" w:hAnsi="Times New Roman"/>
          <w:b/>
          <w:sz w:val="24"/>
          <w:szCs w:val="24"/>
        </w:rPr>
        <w:tab/>
      </w:r>
      <w:r w:rsidRPr="00FC079C">
        <w:rPr>
          <w:rFonts w:ascii="Times New Roman" w:hAnsi="Times New Roman"/>
          <w:b/>
          <w:sz w:val="24"/>
          <w:szCs w:val="24"/>
        </w:rPr>
        <w:tab/>
      </w:r>
      <w:r w:rsidRPr="00FC079C">
        <w:rPr>
          <w:rFonts w:ascii="Times New Roman" w:hAnsi="Times New Roman"/>
          <w:b/>
          <w:sz w:val="24"/>
          <w:szCs w:val="24"/>
        </w:rPr>
        <w:tab/>
      </w:r>
      <w:r w:rsidRPr="00FC079C">
        <w:rPr>
          <w:rFonts w:ascii="Times New Roman" w:hAnsi="Times New Roman"/>
          <w:b/>
          <w:sz w:val="24"/>
          <w:szCs w:val="24"/>
        </w:rPr>
        <w:tab/>
      </w:r>
      <w:r w:rsidRPr="00FC079C">
        <w:rPr>
          <w:rFonts w:ascii="Times New Roman" w:hAnsi="Times New Roman"/>
          <w:b/>
          <w:sz w:val="24"/>
          <w:szCs w:val="24"/>
        </w:rPr>
        <w:tab/>
        <w:t>NAY</w:t>
      </w:r>
    </w:p>
    <w:p w14:paraId="5E8E5370" w14:textId="77777777" w:rsidR="006D6C1B" w:rsidRPr="00FC079C" w:rsidRDefault="006D6C1B" w:rsidP="004650A4">
      <w:pPr>
        <w:rPr>
          <w:rFonts w:ascii="Times New Roman" w:hAnsi="Times New Roman"/>
          <w:b/>
          <w:sz w:val="24"/>
          <w:szCs w:val="24"/>
        </w:rPr>
      </w:pPr>
      <w:r w:rsidRPr="00FC079C">
        <w:rPr>
          <w:rFonts w:ascii="Times New Roman" w:hAnsi="Times New Roman"/>
          <w:b/>
          <w:sz w:val="24"/>
          <w:szCs w:val="24"/>
        </w:rPr>
        <w:t>________________________________</w:t>
      </w:r>
      <w:r w:rsidRPr="00FC079C">
        <w:rPr>
          <w:rFonts w:ascii="Times New Roman" w:hAnsi="Times New Roman"/>
          <w:b/>
          <w:sz w:val="24"/>
          <w:szCs w:val="24"/>
        </w:rPr>
        <w:tab/>
        <w:t>_________________________________</w:t>
      </w:r>
    </w:p>
    <w:p w14:paraId="1523CCAD" w14:textId="77777777" w:rsidR="006D6C1B" w:rsidRPr="00FC079C" w:rsidRDefault="006D6C1B" w:rsidP="004650A4">
      <w:pPr>
        <w:rPr>
          <w:rFonts w:ascii="Times New Roman" w:hAnsi="Times New Roman"/>
          <w:b/>
          <w:sz w:val="24"/>
          <w:szCs w:val="24"/>
        </w:rPr>
      </w:pPr>
      <w:r w:rsidRPr="00FC079C">
        <w:rPr>
          <w:rFonts w:ascii="Times New Roman" w:hAnsi="Times New Roman"/>
          <w:b/>
          <w:sz w:val="24"/>
          <w:szCs w:val="24"/>
        </w:rPr>
        <w:t>________________________________</w:t>
      </w:r>
      <w:r w:rsidRPr="00FC079C">
        <w:rPr>
          <w:rFonts w:ascii="Times New Roman" w:hAnsi="Times New Roman"/>
          <w:b/>
          <w:sz w:val="24"/>
          <w:szCs w:val="24"/>
        </w:rPr>
        <w:tab/>
        <w:t>_________________________________</w:t>
      </w:r>
    </w:p>
    <w:p w14:paraId="196FCC49" w14:textId="77777777" w:rsidR="006D6C1B" w:rsidRPr="00FC079C" w:rsidRDefault="006D6C1B" w:rsidP="004650A4">
      <w:pPr>
        <w:rPr>
          <w:rFonts w:ascii="Times New Roman" w:hAnsi="Times New Roman"/>
          <w:b/>
          <w:sz w:val="24"/>
          <w:szCs w:val="24"/>
        </w:rPr>
      </w:pPr>
      <w:r w:rsidRPr="00FC079C">
        <w:rPr>
          <w:rFonts w:ascii="Times New Roman" w:hAnsi="Times New Roman"/>
          <w:b/>
          <w:sz w:val="24"/>
          <w:szCs w:val="24"/>
        </w:rPr>
        <w:t>________________________________</w:t>
      </w:r>
      <w:r w:rsidRPr="00FC079C">
        <w:rPr>
          <w:rFonts w:ascii="Times New Roman" w:hAnsi="Times New Roman"/>
          <w:b/>
          <w:sz w:val="24"/>
          <w:szCs w:val="24"/>
        </w:rPr>
        <w:tab/>
        <w:t>_________________________________</w:t>
      </w:r>
    </w:p>
    <w:p w14:paraId="70FCD246" w14:textId="77777777" w:rsidR="006D6C1B" w:rsidRPr="00FC079C" w:rsidRDefault="006D6C1B" w:rsidP="004650A4">
      <w:pPr>
        <w:rPr>
          <w:rFonts w:ascii="Times New Roman" w:hAnsi="Times New Roman"/>
          <w:b/>
          <w:sz w:val="24"/>
          <w:szCs w:val="24"/>
        </w:rPr>
      </w:pPr>
      <w:r w:rsidRPr="00FC079C">
        <w:rPr>
          <w:rFonts w:ascii="Times New Roman" w:hAnsi="Times New Roman"/>
          <w:b/>
          <w:sz w:val="24"/>
          <w:szCs w:val="24"/>
        </w:rPr>
        <w:t>________________________________</w:t>
      </w:r>
      <w:r w:rsidRPr="00FC079C">
        <w:rPr>
          <w:rFonts w:ascii="Times New Roman" w:hAnsi="Times New Roman"/>
          <w:b/>
          <w:sz w:val="24"/>
          <w:szCs w:val="24"/>
        </w:rPr>
        <w:tab/>
        <w:t>_________________________________</w:t>
      </w:r>
    </w:p>
    <w:p w14:paraId="2E1BCBC1" w14:textId="55797B95" w:rsidR="006D6C1B" w:rsidRDefault="006D6C1B" w:rsidP="004650A4">
      <w:pPr>
        <w:rPr>
          <w:rFonts w:ascii="Times New Roman" w:hAnsi="Times New Roman"/>
          <w:b/>
          <w:sz w:val="24"/>
          <w:szCs w:val="24"/>
        </w:rPr>
      </w:pPr>
      <w:r w:rsidRPr="00FC079C">
        <w:rPr>
          <w:rFonts w:ascii="Times New Roman" w:hAnsi="Times New Roman"/>
          <w:b/>
          <w:sz w:val="24"/>
          <w:szCs w:val="24"/>
        </w:rPr>
        <w:t>________________________________</w:t>
      </w:r>
      <w:r w:rsidRPr="00FC079C">
        <w:rPr>
          <w:rFonts w:ascii="Times New Roman" w:hAnsi="Times New Roman"/>
          <w:b/>
          <w:sz w:val="24"/>
          <w:szCs w:val="24"/>
        </w:rPr>
        <w:tab/>
        <w:t>_________________________________</w:t>
      </w:r>
    </w:p>
    <w:p w14:paraId="6DB25CAA" w14:textId="77777777" w:rsidR="000E3149" w:rsidRPr="00FC079C" w:rsidRDefault="000E3149" w:rsidP="000E3149">
      <w:pPr>
        <w:rPr>
          <w:rFonts w:ascii="Times New Roman" w:hAnsi="Times New Roman"/>
          <w:b/>
          <w:sz w:val="24"/>
          <w:szCs w:val="24"/>
        </w:rPr>
      </w:pPr>
      <w:r w:rsidRPr="00FC079C">
        <w:rPr>
          <w:rFonts w:ascii="Times New Roman" w:hAnsi="Times New Roman"/>
          <w:b/>
          <w:sz w:val="24"/>
          <w:szCs w:val="24"/>
        </w:rPr>
        <w:t>________________________________</w:t>
      </w:r>
      <w:r w:rsidRPr="00FC079C">
        <w:rPr>
          <w:rFonts w:ascii="Times New Roman" w:hAnsi="Times New Roman"/>
          <w:b/>
          <w:sz w:val="24"/>
          <w:szCs w:val="24"/>
        </w:rPr>
        <w:tab/>
        <w:t>_________________________________</w:t>
      </w:r>
    </w:p>
    <w:p w14:paraId="5FDF08C4" w14:textId="6939B245" w:rsidR="000E3149" w:rsidRPr="00FC079C" w:rsidRDefault="000E3149" w:rsidP="000E3149">
      <w:pPr>
        <w:rPr>
          <w:rFonts w:ascii="Times New Roman" w:hAnsi="Times New Roman"/>
          <w:b/>
          <w:sz w:val="24"/>
          <w:szCs w:val="24"/>
        </w:rPr>
      </w:pPr>
      <w:r w:rsidRPr="00FC079C">
        <w:rPr>
          <w:rFonts w:ascii="Times New Roman" w:hAnsi="Times New Roman"/>
          <w:b/>
          <w:sz w:val="24"/>
          <w:szCs w:val="24"/>
        </w:rPr>
        <w:t>_____________________________</w:t>
      </w:r>
      <w:r>
        <w:rPr>
          <w:rFonts w:ascii="Times New Roman" w:hAnsi="Times New Roman"/>
          <w:b/>
          <w:sz w:val="24"/>
          <w:szCs w:val="24"/>
        </w:rPr>
        <w:t>___</w:t>
      </w:r>
      <w:r w:rsidRPr="00FC079C">
        <w:rPr>
          <w:rFonts w:ascii="Times New Roman" w:hAnsi="Times New Roman"/>
          <w:b/>
          <w:sz w:val="24"/>
          <w:szCs w:val="24"/>
        </w:rPr>
        <w:tab/>
        <w:t>_________________________________</w:t>
      </w:r>
    </w:p>
    <w:p w14:paraId="1D018F31" w14:textId="77777777" w:rsidR="000E3149" w:rsidRPr="00FC079C" w:rsidRDefault="000E3149" w:rsidP="004650A4">
      <w:pPr>
        <w:rPr>
          <w:rFonts w:ascii="Times New Roman" w:hAnsi="Times New Roman"/>
          <w:b/>
          <w:sz w:val="24"/>
          <w:szCs w:val="24"/>
        </w:rPr>
      </w:pPr>
    </w:p>
    <w:p w14:paraId="5AC11D65" w14:textId="77777777" w:rsidR="006D6C1B" w:rsidRPr="00FC079C" w:rsidRDefault="006D6C1B" w:rsidP="004650A4">
      <w:pPr>
        <w:rPr>
          <w:rFonts w:ascii="Times New Roman" w:hAnsi="Times New Roman"/>
          <w:b/>
          <w:sz w:val="24"/>
          <w:szCs w:val="24"/>
        </w:rPr>
      </w:pPr>
    </w:p>
    <w:p w14:paraId="0177D40D" w14:textId="2138CACF" w:rsidR="001F337C" w:rsidRPr="00FC079C" w:rsidRDefault="006D6C1B" w:rsidP="004650A4">
      <w:pPr>
        <w:rPr>
          <w:rFonts w:ascii="Times New Roman" w:hAnsi="Times New Roman"/>
          <w:b/>
          <w:sz w:val="24"/>
          <w:szCs w:val="24"/>
        </w:rPr>
      </w:pPr>
      <w:r w:rsidRPr="00FC079C">
        <w:rPr>
          <w:rFonts w:ascii="Times New Roman" w:hAnsi="Times New Roman"/>
          <w:b/>
          <w:sz w:val="24"/>
          <w:szCs w:val="24"/>
        </w:rPr>
        <w:t>Attest: _______________________________, Fiscal Officer</w:t>
      </w:r>
    </w:p>
    <w:p w14:paraId="79C36A6C" w14:textId="5593FB2B" w:rsidR="006D6C1B" w:rsidRPr="00F6102B" w:rsidRDefault="006D6C1B" w:rsidP="004650A4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58D6A4B3" w14:textId="77777777" w:rsidR="006D6C1B" w:rsidRPr="00FC079C" w:rsidRDefault="006D6C1B" w:rsidP="004650A4">
      <w:pPr>
        <w:rPr>
          <w:rFonts w:ascii="Times New Roman" w:hAnsi="Times New Roman"/>
          <w:sz w:val="24"/>
          <w:szCs w:val="24"/>
        </w:rPr>
      </w:pPr>
    </w:p>
    <w:bookmarkEnd w:id="0"/>
    <w:p w14:paraId="3D793D6C" w14:textId="77777777" w:rsidR="006D6C1B" w:rsidRPr="00FC079C" w:rsidRDefault="006D6C1B" w:rsidP="004650A4">
      <w:pPr>
        <w:rPr>
          <w:rFonts w:ascii="Times New Roman" w:hAnsi="Times New Roman"/>
          <w:sz w:val="24"/>
          <w:szCs w:val="24"/>
        </w:rPr>
      </w:pPr>
    </w:p>
    <w:p w14:paraId="588CF5B3" w14:textId="77777777" w:rsidR="007C2A2D" w:rsidRDefault="007C2A2D" w:rsidP="007C2A2D">
      <w:pPr>
        <w:rPr>
          <w:rFonts w:ascii="Times New Roman" w:hAnsi="Times New Roman"/>
          <w:sz w:val="24"/>
          <w:szCs w:val="24"/>
        </w:rPr>
      </w:pPr>
    </w:p>
    <w:p w14:paraId="420868A7" w14:textId="77777777" w:rsidR="007C2A2D" w:rsidRDefault="007C2A2D" w:rsidP="007C2A2D">
      <w:pPr>
        <w:rPr>
          <w:rFonts w:ascii="Times New Roman" w:hAnsi="Times New Roman"/>
          <w:sz w:val="24"/>
          <w:szCs w:val="24"/>
        </w:rPr>
      </w:pPr>
    </w:p>
    <w:p w14:paraId="3BC3BD90" w14:textId="77777777" w:rsidR="007C2A2D" w:rsidRDefault="007C2A2D" w:rsidP="007C2A2D">
      <w:pPr>
        <w:rPr>
          <w:rFonts w:ascii="Times New Roman" w:hAnsi="Times New Roman"/>
          <w:sz w:val="24"/>
          <w:szCs w:val="24"/>
        </w:rPr>
      </w:pPr>
    </w:p>
    <w:p w14:paraId="7942DC38" w14:textId="77777777" w:rsidR="007C2A2D" w:rsidRDefault="007C2A2D" w:rsidP="007C2A2D">
      <w:pPr>
        <w:rPr>
          <w:rFonts w:ascii="Times New Roman" w:hAnsi="Times New Roman"/>
          <w:sz w:val="24"/>
          <w:szCs w:val="24"/>
        </w:rPr>
      </w:pPr>
    </w:p>
    <w:p w14:paraId="53A4484D" w14:textId="77777777" w:rsidR="007C2A2D" w:rsidRDefault="007C2A2D" w:rsidP="007C2A2D">
      <w:pPr>
        <w:rPr>
          <w:rFonts w:ascii="Times New Roman" w:hAnsi="Times New Roman"/>
          <w:sz w:val="24"/>
          <w:szCs w:val="24"/>
        </w:rPr>
      </w:pPr>
    </w:p>
    <w:p w14:paraId="3D82ABE2" w14:textId="77777777" w:rsidR="007C2A2D" w:rsidRDefault="007C2A2D" w:rsidP="007C2A2D">
      <w:pPr>
        <w:rPr>
          <w:rFonts w:ascii="Times New Roman" w:hAnsi="Times New Roman"/>
          <w:sz w:val="24"/>
          <w:szCs w:val="24"/>
        </w:rPr>
      </w:pPr>
    </w:p>
    <w:p w14:paraId="43168E21" w14:textId="77777777" w:rsidR="007C2A2D" w:rsidRDefault="007C2A2D" w:rsidP="007C2A2D">
      <w:pPr>
        <w:rPr>
          <w:rFonts w:ascii="Times New Roman" w:hAnsi="Times New Roman"/>
          <w:sz w:val="24"/>
          <w:szCs w:val="24"/>
        </w:rPr>
      </w:pPr>
    </w:p>
    <w:p w14:paraId="58D284E3" w14:textId="77777777" w:rsidR="007C2A2D" w:rsidRDefault="007C2A2D" w:rsidP="007C2A2D">
      <w:pPr>
        <w:rPr>
          <w:rFonts w:ascii="Times New Roman" w:hAnsi="Times New Roman"/>
          <w:sz w:val="24"/>
          <w:szCs w:val="24"/>
        </w:rPr>
      </w:pPr>
    </w:p>
    <w:p w14:paraId="166619C7" w14:textId="77777777" w:rsidR="007C2A2D" w:rsidRDefault="007C2A2D" w:rsidP="007C2A2D">
      <w:pPr>
        <w:rPr>
          <w:rFonts w:ascii="Times New Roman" w:hAnsi="Times New Roman"/>
          <w:sz w:val="24"/>
          <w:szCs w:val="24"/>
        </w:rPr>
      </w:pPr>
    </w:p>
    <w:p w14:paraId="661073B6" w14:textId="77777777" w:rsidR="007C2A2D" w:rsidRDefault="007C2A2D" w:rsidP="007C2A2D">
      <w:pPr>
        <w:rPr>
          <w:rFonts w:ascii="Times New Roman" w:hAnsi="Times New Roman"/>
          <w:sz w:val="24"/>
          <w:szCs w:val="24"/>
        </w:rPr>
      </w:pPr>
    </w:p>
    <w:p w14:paraId="0626C907" w14:textId="77777777" w:rsidR="007C2A2D" w:rsidRDefault="007C2A2D" w:rsidP="007C2A2D">
      <w:pPr>
        <w:rPr>
          <w:rFonts w:ascii="Times New Roman" w:hAnsi="Times New Roman"/>
          <w:sz w:val="24"/>
          <w:szCs w:val="24"/>
        </w:rPr>
      </w:pPr>
    </w:p>
    <w:p w14:paraId="67C9BDF6" w14:textId="77777777" w:rsidR="007C2A2D" w:rsidRDefault="007C2A2D" w:rsidP="007C2A2D">
      <w:pPr>
        <w:rPr>
          <w:rFonts w:ascii="Times New Roman" w:hAnsi="Times New Roman"/>
          <w:sz w:val="24"/>
          <w:szCs w:val="24"/>
        </w:rPr>
      </w:pPr>
    </w:p>
    <w:p w14:paraId="4F8CF3CB" w14:textId="77777777" w:rsidR="007C2A2D" w:rsidRDefault="007C2A2D" w:rsidP="007C2A2D">
      <w:pPr>
        <w:rPr>
          <w:rFonts w:ascii="Times New Roman" w:hAnsi="Times New Roman"/>
          <w:sz w:val="24"/>
          <w:szCs w:val="24"/>
        </w:rPr>
      </w:pPr>
    </w:p>
    <w:p w14:paraId="3A952C5C" w14:textId="77777777" w:rsidR="007C2A2D" w:rsidRDefault="007C2A2D" w:rsidP="007C2A2D">
      <w:pPr>
        <w:rPr>
          <w:rFonts w:ascii="Times New Roman" w:hAnsi="Times New Roman"/>
          <w:sz w:val="24"/>
          <w:szCs w:val="24"/>
        </w:rPr>
      </w:pPr>
    </w:p>
    <w:p w14:paraId="5BF665FE" w14:textId="77777777" w:rsidR="007C2A2D" w:rsidRDefault="007C2A2D" w:rsidP="007C2A2D">
      <w:pPr>
        <w:rPr>
          <w:rFonts w:ascii="Times New Roman" w:hAnsi="Times New Roman"/>
          <w:sz w:val="24"/>
          <w:szCs w:val="24"/>
        </w:rPr>
      </w:pPr>
    </w:p>
    <w:p w14:paraId="4F38DB01" w14:textId="77777777" w:rsidR="007C2A2D" w:rsidRDefault="007C2A2D" w:rsidP="007C2A2D">
      <w:pPr>
        <w:rPr>
          <w:rFonts w:ascii="Times New Roman" w:hAnsi="Times New Roman"/>
          <w:sz w:val="24"/>
          <w:szCs w:val="24"/>
        </w:rPr>
      </w:pPr>
    </w:p>
    <w:sectPr w:rsidR="007C2A2D" w:rsidSect="00567A59">
      <w:headerReference w:type="default" r:id="rId8"/>
      <w:type w:val="continuous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445E47" w14:textId="77777777" w:rsidR="00C74D6F" w:rsidRDefault="00C74D6F" w:rsidP="00DD72A0">
      <w:r>
        <w:separator/>
      </w:r>
    </w:p>
  </w:endnote>
  <w:endnote w:type="continuationSeparator" w:id="0">
    <w:p w14:paraId="326037CE" w14:textId="77777777" w:rsidR="00C74D6F" w:rsidRDefault="00C74D6F" w:rsidP="00DD7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D7B357" w14:textId="77777777" w:rsidR="00C74D6F" w:rsidRDefault="00C74D6F" w:rsidP="00DD72A0">
      <w:r>
        <w:separator/>
      </w:r>
    </w:p>
  </w:footnote>
  <w:footnote w:type="continuationSeparator" w:id="0">
    <w:p w14:paraId="352F4141" w14:textId="77777777" w:rsidR="00C74D6F" w:rsidRDefault="00C74D6F" w:rsidP="00DD72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1A2B26" w14:textId="77777777" w:rsidR="00846E53" w:rsidRDefault="00846E53" w:rsidP="00DD72A0">
    <w:pPr>
      <w:pStyle w:val="Header"/>
      <w:ind w:left="-45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57FC4"/>
    <w:multiLevelType w:val="hybridMultilevel"/>
    <w:tmpl w:val="CA2A2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52A0C"/>
    <w:multiLevelType w:val="hybridMultilevel"/>
    <w:tmpl w:val="74FC69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3C5041"/>
    <w:multiLevelType w:val="hybridMultilevel"/>
    <w:tmpl w:val="4C9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A753D"/>
    <w:multiLevelType w:val="hybridMultilevel"/>
    <w:tmpl w:val="F61C4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B34CC"/>
    <w:multiLevelType w:val="hybridMultilevel"/>
    <w:tmpl w:val="7472D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14A69"/>
    <w:multiLevelType w:val="hybridMultilevel"/>
    <w:tmpl w:val="CA86EA42"/>
    <w:lvl w:ilvl="0" w:tplc="D4961E0A">
      <w:start w:val="1"/>
      <w:numFmt w:val="lowerRoman"/>
      <w:lvlText w:val="(%1)"/>
      <w:lvlJc w:val="left"/>
      <w:pPr>
        <w:ind w:left="9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6" w15:restartNumberingAfterBreak="0">
    <w:nsid w:val="342A5B23"/>
    <w:multiLevelType w:val="hybridMultilevel"/>
    <w:tmpl w:val="3738C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42397"/>
    <w:multiLevelType w:val="hybridMultilevel"/>
    <w:tmpl w:val="CA86EA42"/>
    <w:lvl w:ilvl="0" w:tplc="D4961E0A">
      <w:start w:val="1"/>
      <w:numFmt w:val="lowerRoman"/>
      <w:lvlText w:val="(%1)"/>
      <w:lvlJc w:val="left"/>
      <w:pPr>
        <w:ind w:left="9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8" w15:restartNumberingAfterBreak="0">
    <w:nsid w:val="497D10C6"/>
    <w:multiLevelType w:val="hybridMultilevel"/>
    <w:tmpl w:val="CA86EA42"/>
    <w:lvl w:ilvl="0" w:tplc="D4961E0A">
      <w:start w:val="1"/>
      <w:numFmt w:val="lowerRoman"/>
      <w:lvlText w:val="(%1)"/>
      <w:lvlJc w:val="left"/>
      <w:pPr>
        <w:ind w:left="9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9" w15:restartNumberingAfterBreak="0">
    <w:nsid w:val="6542518A"/>
    <w:multiLevelType w:val="hybridMultilevel"/>
    <w:tmpl w:val="AAB45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D66DC7"/>
    <w:multiLevelType w:val="hybridMultilevel"/>
    <w:tmpl w:val="723ABC9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97542A9"/>
    <w:multiLevelType w:val="hybridMultilevel"/>
    <w:tmpl w:val="D2EAD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785888"/>
    <w:multiLevelType w:val="hybridMultilevel"/>
    <w:tmpl w:val="CA86EA42"/>
    <w:lvl w:ilvl="0" w:tplc="D4961E0A">
      <w:start w:val="1"/>
      <w:numFmt w:val="lowerRoman"/>
      <w:lvlText w:val="(%1)"/>
      <w:lvlJc w:val="left"/>
      <w:pPr>
        <w:ind w:left="9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8"/>
  </w:num>
  <w:num w:numId="5">
    <w:abstractNumId w:val="12"/>
  </w:num>
  <w:num w:numId="6">
    <w:abstractNumId w:val="3"/>
  </w:num>
  <w:num w:numId="7">
    <w:abstractNumId w:val="2"/>
  </w:num>
  <w:num w:numId="8">
    <w:abstractNumId w:val="7"/>
  </w:num>
  <w:num w:numId="9">
    <w:abstractNumId w:val="10"/>
  </w:num>
  <w:num w:numId="10">
    <w:abstractNumId w:val="11"/>
  </w:num>
  <w:num w:numId="11">
    <w:abstractNumId w:val="0"/>
  </w:num>
  <w:num w:numId="12">
    <w:abstractNumId w:val="0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IwMDaysDAxMjI0MzVU0lEKTi0uzszPAykwrAUAXAVz5SwAAAA="/>
  </w:docVars>
  <w:rsids>
    <w:rsidRoot w:val="00787406"/>
    <w:rsid w:val="0001436C"/>
    <w:rsid w:val="0003126F"/>
    <w:rsid w:val="00043028"/>
    <w:rsid w:val="00044906"/>
    <w:rsid w:val="00057C09"/>
    <w:rsid w:val="00086D92"/>
    <w:rsid w:val="000A7463"/>
    <w:rsid w:val="000C25D7"/>
    <w:rsid w:val="000C7726"/>
    <w:rsid w:val="000E1270"/>
    <w:rsid w:val="000E254C"/>
    <w:rsid w:val="000E3149"/>
    <w:rsid w:val="001231B9"/>
    <w:rsid w:val="00164665"/>
    <w:rsid w:val="00187913"/>
    <w:rsid w:val="001934E4"/>
    <w:rsid w:val="001A3266"/>
    <w:rsid w:val="001A3E14"/>
    <w:rsid w:val="001A7E36"/>
    <w:rsid w:val="001C7DC9"/>
    <w:rsid w:val="001F337C"/>
    <w:rsid w:val="001F53CD"/>
    <w:rsid w:val="001F6C64"/>
    <w:rsid w:val="00211452"/>
    <w:rsid w:val="00244E0C"/>
    <w:rsid w:val="00251CF1"/>
    <w:rsid w:val="00256C00"/>
    <w:rsid w:val="0027095A"/>
    <w:rsid w:val="0028746A"/>
    <w:rsid w:val="002A6E44"/>
    <w:rsid w:val="002B5992"/>
    <w:rsid w:val="00360FA8"/>
    <w:rsid w:val="00385DDB"/>
    <w:rsid w:val="003866A9"/>
    <w:rsid w:val="003C2C59"/>
    <w:rsid w:val="003F5E41"/>
    <w:rsid w:val="00455845"/>
    <w:rsid w:val="00462A29"/>
    <w:rsid w:val="004650A4"/>
    <w:rsid w:val="00490A8D"/>
    <w:rsid w:val="004D1FDC"/>
    <w:rsid w:val="00541EF7"/>
    <w:rsid w:val="00543F09"/>
    <w:rsid w:val="00545839"/>
    <w:rsid w:val="00550D0D"/>
    <w:rsid w:val="00567A59"/>
    <w:rsid w:val="005A2062"/>
    <w:rsid w:val="005B2680"/>
    <w:rsid w:val="005B2849"/>
    <w:rsid w:val="00600617"/>
    <w:rsid w:val="006048F1"/>
    <w:rsid w:val="00615B6C"/>
    <w:rsid w:val="0062100D"/>
    <w:rsid w:val="00623C30"/>
    <w:rsid w:val="00694D66"/>
    <w:rsid w:val="006C1263"/>
    <w:rsid w:val="006D5917"/>
    <w:rsid w:val="006D62EC"/>
    <w:rsid w:val="006D6C1B"/>
    <w:rsid w:val="006E41E2"/>
    <w:rsid w:val="006E692C"/>
    <w:rsid w:val="00701AEA"/>
    <w:rsid w:val="00732BB7"/>
    <w:rsid w:val="00747581"/>
    <w:rsid w:val="0076469B"/>
    <w:rsid w:val="007657A7"/>
    <w:rsid w:val="00781AED"/>
    <w:rsid w:val="007835A8"/>
    <w:rsid w:val="00785300"/>
    <w:rsid w:val="00787406"/>
    <w:rsid w:val="00795A83"/>
    <w:rsid w:val="007A130E"/>
    <w:rsid w:val="007B6363"/>
    <w:rsid w:val="007C1745"/>
    <w:rsid w:val="007C2A2D"/>
    <w:rsid w:val="007C7282"/>
    <w:rsid w:val="007C7765"/>
    <w:rsid w:val="007E099F"/>
    <w:rsid w:val="007E2BAE"/>
    <w:rsid w:val="00806446"/>
    <w:rsid w:val="008309EB"/>
    <w:rsid w:val="00846E53"/>
    <w:rsid w:val="008517F8"/>
    <w:rsid w:val="00870041"/>
    <w:rsid w:val="008B6DF1"/>
    <w:rsid w:val="008D41CA"/>
    <w:rsid w:val="008E1BD4"/>
    <w:rsid w:val="008F109D"/>
    <w:rsid w:val="009015F7"/>
    <w:rsid w:val="00956390"/>
    <w:rsid w:val="00A1219D"/>
    <w:rsid w:val="00A413BF"/>
    <w:rsid w:val="00A8315E"/>
    <w:rsid w:val="00A83838"/>
    <w:rsid w:val="00A90721"/>
    <w:rsid w:val="00A91E87"/>
    <w:rsid w:val="00AA6CB5"/>
    <w:rsid w:val="00AF7CE6"/>
    <w:rsid w:val="00B03B69"/>
    <w:rsid w:val="00B12ECE"/>
    <w:rsid w:val="00B23A05"/>
    <w:rsid w:val="00B44E66"/>
    <w:rsid w:val="00B71FD8"/>
    <w:rsid w:val="00B956C2"/>
    <w:rsid w:val="00BA4964"/>
    <w:rsid w:val="00BA67CB"/>
    <w:rsid w:val="00BD7B86"/>
    <w:rsid w:val="00C008B2"/>
    <w:rsid w:val="00C14592"/>
    <w:rsid w:val="00C253B2"/>
    <w:rsid w:val="00C30F18"/>
    <w:rsid w:val="00C57F60"/>
    <w:rsid w:val="00C74D6F"/>
    <w:rsid w:val="00CE2B22"/>
    <w:rsid w:val="00CE7CA0"/>
    <w:rsid w:val="00CF0B52"/>
    <w:rsid w:val="00D2155C"/>
    <w:rsid w:val="00D243B1"/>
    <w:rsid w:val="00D30FDC"/>
    <w:rsid w:val="00D56E4D"/>
    <w:rsid w:val="00D576CA"/>
    <w:rsid w:val="00D61457"/>
    <w:rsid w:val="00D65269"/>
    <w:rsid w:val="00D72AAD"/>
    <w:rsid w:val="00DC7F48"/>
    <w:rsid w:val="00DD72A0"/>
    <w:rsid w:val="00DF2CE3"/>
    <w:rsid w:val="00E15F17"/>
    <w:rsid w:val="00E202B5"/>
    <w:rsid w:val="00E33D35"/>
    <w:rsid w:val="00E346F1"/>
    <w:rsid w:val="00E60F49"/>
    <w:rsid w:val="00E72C8B"/>
    <w:rsid w:val="00E94F1A"/>
    <w:rsid w:val="00EA6CB4"/>
    <w:rsid w:val="00EB3401"/>
    <w:rsid w:val="00EB70F9"/>
    <w:rsid w:val="00EE6221"/>
    <w:rsid w:val="00F01C65"/>
    <w:rsid w:val="00F108AD"/>
    <w:rsid w:val="00F37C29"/>
    <w:rsid w:val="00F6102B"/>
    <w:rsid w:val="00FC079C"/>
    <w:rsid w:val="00FE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0E8B61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787406"/>
  </w:style>
  <w:style w:type="character" w:customStyle="1" w:styleId="underline">
    <w:name w:val="underline"/>
    <w:rsid w:val="00787406"/>
  </w:style>
  <w:style w:type="table" w:styleId="TableGrid">
    <w:name w:val="Table Grid"/>
    <w:basedOn w:val="TableNormal"/>
    <w:uiPriority w:val="39"/>
    <w:rsid w:val="00187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56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17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7F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60F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0F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0FA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0F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0FA8"/>
    <w:rPr>
      <w:b/>
      <w:bCs/>
    </w:rPr>
  </w:style>
  <w:style w:type="paragraph" w:styleId="Header">
    <w:name w:val="header"/>
    <w:basedOn w:val="Normal"/>
    <w:link w:val="HeaderChar"/>
    <w:unhideWhenUsed/>
    <w:rsid w:val="00DD72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72A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D72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72A0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85DD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3C3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57F60"/>
    <w:rPr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03B6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1459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3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EB2A3-44C4-4ACB-9DCD-33D855D40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3208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2022-11-18T21:25:00Z</dcterms:created>
  <dcterms:modified xsi:type="dcterms:W3CDTF">2022-11-18T21:25:00Z</dcterms:modified>
</cp:coreProperties>
</file>